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Jacob Horst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1537 in Torgau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in Helmstedt (1584–1600);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Sibylle Horst geborene von Benthen, Heirat 1562; Regina Horst geborene Zoch, Heirat 1587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123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https://d-nb.info/gnd/100210007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https://uni-helmstedt.hab.de/prof-115-horst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1584–1600 Lehrstuhl für [o. A.], Helmstedt</w:t>
      </w:r>
    </w:p>
    <w:p>
      <w:pPr>
        <w:pStyle w:val="Heading2"/>
      </w:pPr>
      <w:bookmarkStart w:id="2" w:name="_Toc2"/>
      <w:r>
        <w:t>Vorlesungen (10)</w:t>
      </w:r>
      <w:bookmarkEnd w:id="2"/>
    </w:p>
    <w:p>
      <w:pPr>
        <w:pStyle w:val="ListEntry"/>
      </w:pPr>
      <w:r>
        <w:rPr>
          <w:rStyle w:val="BodyText"/>
        </w:rPr>
        <w:t xml:space="preserve">[...] Priuatim quoq. tum αναχυσιμ Medicinae uniuersae pertexet, tum etiam exercitia disputationum diuidicandarum complexionum et urinarum renouabit., Wintersemester 1587/1588</w:t>
      </w:r>
    </w:p>
    <w:p>
      <w:pPr>
        <w:pStyle w:val="ListEntry"/>
      </w:pPr>
      <w:r>
        <w:rPr>
          <w:rStyle w:val="BodyText"/>
        </w:rPr>
        <w:t xml:space="preserve">[...] Die uero Jouis et Veneris materiam medicam de selectis radicibus methodo, in usu substantia temperamento facultatibus et remedijs probatissimis hora eadem tradet. [...], Wintersemester 1587/1588</w:t>
      </w:r>
    </w:p>
    <w:p>
      <w:pPr>
        <w:pStyle w:val="ListEntry"/>
      </w:pPr>
      <w:r>
        <w:rPr>
          <w:rStyle w:val="BodyText"/>
        </w:rPr>
        <w:t xml:space="preserve">Jacobus Horstius Medicinae D. publice libros Aphorismorum Hippocratis die Lunae Martis et Mercurij hora secunda pomeridiana interpretabitur. [...], Wintersemester 1587/1588</w:t>
      </w:r>
    </w:p>
    <w:p>
      <w:pPr>
        <w:pStyle w:val="ListEntry"/>
      </w:pPr>
      <w:r>
        <w:rPr>
          <w:rStyle w:val="BodyText"/>
        </w:rPr>
        <w:t xml:space="preserve">[...] Die Iouis &amp; Veneris eadem hora obseruationes medicas practicas tradit, &amp; simul quaestiones pro introductione ad medicinam proponit, &amp; cum practica medicina eum auocat, praelectiones reuersus duplicando quotidie resarcit., Wintersemester 1594/1595</w:t>
      </w:r>
    </w:p>
    <w:p>
      <w:pPr>
        <w:pStyle w:val="ListEntry"/>
      </w:pPr>
      <w:r>
        <w:rPr>
          <w:rStyle w:val="BodyText"/>
        </w:rPr>
        <w:t xml:space="preserve">Iacobus Horstius D. Medicinam θεςαπεευτχυύ tradet &amp; Hippocratem interpretabitur, qua de causa hora octaua die Lunae &amp; Martis, Aphorismos Hippocratis, quos initio anni auspicatus est, hoc semestri in tertio et quarto libro explicando continuabit. [...], Wintersemester 1594/1595</w:t>
      </w:r>
    </w:p>
    <w:p>
      <w:pPr>
        <w:pStyle w:val="ListEntry"/>
      </w:pPr>
      <w:r>
        <w:rPr>
          <w:rStyle w:val="BodyText"/>
        </w:rPr>
        <w:t xml:space="preserve">Iacobvs Horstivs D. Medicae Facultatis Senior &amp; Ordinarius, publice praeleget practicam Hippocratis, quae est in libro Ï€ÎµÏ†Î¹ Ï„Î±Î¸Ï‰Î½, &amp; tum propria versione, tum etiam Commentarijs illustrabit, hora octaua matutina., Wintersemester 1595/1596</w:t>
      </w:r>
    </w:p>
    <w:p>
      <w:pPr>
        <w:pStyle w:val="ListEntry"/>
      </w:pPr>
      <w:r>
        <w:rPr>
          <w:rStyle w:val="BodyText"/>
        </w:rPr>
        <w:t xml:space="preserve">Iacobvs Horstius D. ordinarius &amp; senior Facultatis medicae, praeter priuatas [...], Sommersemester 1597</w:t>
      </w:r>
    </w:p>
    <w:p>
      <w:pPr>
        <w:pStyle w:val="ListEntry"/>
      </w:pPr>
      <w:r>
        <w:rPr>
          <w:rStyle w:val="BodyText"/>
        </w:rPr>
        <w:t xml:space="preserve">[...] &amp; praelectiones &amp; exercitia publice hora 8 matutina practicam Hippocratis, quae est in libro eius πεφιπαθωι., Sommersemester 1597</w:t>
      </w:r>
    </w:p>
    <w:p>
      <w:pPr>
        <w:pStyle w:val="ListEntry"/>
      </w:pPr>
      <w:r>
        <w:rPr>
          <w:rStyle w:val="BodyText"/>
        </w:rPr>
        <w:t xml:space="preserve">Iacobvs Horstivs D. pro tempore Decanus, &amp; Senior facultatis Medicae, perget Hippocratis practicam explicare, &amp; hoc sequenti semestri absoluere, curatiuam particularium morborum internorum. [...], Sommersemester 1599</w:t>
      </w:r>
    </w:p>
    <w:p>
      <w:pPr>
        <w:pStyle w:val="ListEntry"/>
      </w:pPr>
      <w:r>
        <w:rPr>
          <w:rStyle w:val="BodyText"/>
        </w:rPr>
        <w:t xml:space="preserve">[...] Priuatim vero disputationes Catholicas, in tertia Medicinae parte, dicta αιζιολογιχη continuabit., Sommersemester 1599</w:t>
      </w:r>
    </w:p>
    <w:p>
      <w:pPr>
        <w:pStyle w:val="Heading2"/>
      </w:pPr>
      <w:bookmarkStart w:id="3" w:name="_Toc3"/>
      <w:r>
        <w:t>Dissertationen (30)</w:t>
      </w:r>
      <w:bookmarkEnd w:id="3"/>
    </w:p>
    <w:p>
      <w:pPr>
        <w:pStyle w:val="ListEntry"/>
      </w:pPr>
      <w:r>
        <w:rPr>
          <w:rStyle w:val="BodyText"/>
        </w:rPr>
        <w:t xml:space="preserve">De sanitate eiusque differentiis Disputationum Medicinalium Catholicarum VIII., 1589</w:t>
      </w:r>
    </w:p>
    <w:p>
      <w:pPr>
        <w:pStyle w:val="ListEntry"/>
      </w:pPr>
      <w:r>
        <w:rPr>
          <w:rStyle w:val="BodyText"/>
        </w:rPr>
        <w:t xml:space="preserve">De paralysi 
 Theses, 08.12.1595</w:t>
      </w:r>
    </w:p>
    <w:p>
      <w:pPr>
        <w:pStyle w:val="ListEntry"/>
      </w:pPr>
      <w:r>
        <w:rPr>
          <w:rStyle w:val="BodyText"/>
        </w:rPr>
        <w:t xml:space="preserve">, 01.12.1589</w:t>
      </w:r>
    </w:p>
    <w:p>
      <w:pPr>
        <w:pStyle w:val="ListEntry"/>
      </w:pPr>
      <w:r>
        <w:rPr>
          <w:rStyle w:val="BodyText"/>
        </w:rPr>
        <w:t xml:space="preserve">De paralysi 
 Theses, 08.12.1595. VD16 ZV 8224</w:t>
      </w:r>
    </w:p>
    <w:p>
      <w:pPr>
        <w:pStyle w:val="ListEntry"/>
      </w:pPr>
      <w:r>
        <w:rPr>
          <w:rStyle w:val="BodyText"/>
        </w:rPr>
        <w:t xml:space="preserve">De modo generationis morborum in intemperie ex causis eorum praecipue internis Disputationum Medicinalium Catholicarum XII., 1590</w:t>
      </w:r>
    </w:p>
    <w:p>
      <w:pPr>
        <w:pStyle w:val="ListEntry"/>
      </w:pPr>
      <w:r>
        <w:rPr>
          <w:rStyle w:val="BodyText"/>
        </w:rPr>
        <w:t xml:space="preserve">De neutro corporis humano
 Disputationum Medicinalium Catholicarum IX., 1589</w:t>
      </w:r>
    </w:p>
    <w:p>
      <w:pPr>
        <w:pStyle w:val="ListEntry"/>
      </w:pPr>
      <w:r>
        <w:rPr>
          <w:rStyle w:val="BodyText"/>
        </w:rPr>
        <w:t xml:space="preserve">De paralysi 
 Theses, 08.12.1595</w:t>
      </w:r>
    </w:p>
    <w:p>
      <w:pPr>
        <w:pStyle w:val="ListEntry"/>
      </w:pPr>
      <w:r>
        <w:rPr>
          <w:rStyle w:val="BodyText"/>
        </w:rPr>
        <w:t xml:space="preserve">De febribus iuxta et peste Theses, 28.02.1587</w:t>
      </w:r>
    </w:p>
    <w:p>
      <w:pPr>
        <w:pStyle w:val="ListEntry"/>
      </w:pPr>
      <w:r>
        <w:rPr>
          <w:rStyle w:val="BodyText"/>
        </w:rPr>
        <w:t xml:space="preserve">De memoria deperdita curanda Theses medicae, 01.05.1587</w:t>
      </w:r>
    </w:p>
    <w:p>
      <w:pPr>
        <w:pStyle w:val="ListEntry"/>
      </w:pPr>
      <w:r>
        <w:rPr>
          <w:rStyle w:val="BodyText"/>
        </w:rPr>
        <w:t xml:space="preserve">De apoplexia Theses, 01.11.1592</w:t>
      </w:r>
    </w:p>
    <w:p>
      <w:pPr>
        <w:pStyle w:val="ListEntry"/>
      </w:pPr>
      <w:r>
        <w:rPr>
          <w:rStyle w:val="BodyText"/>
        </w:rPr>
        <w:t xml:space="preserve">De apoplexia  Theses, 01.11.1592</w:t>
      </w:r>
    </w:p>
    <w:p>
      <w:pPr>
        <w:pStyle w:val="ListEntry"/>
      </w:pPr>
      <w:r>
        <w:rPr>
          <w:rStyle w:val="BodyText"/>
        </w:rPr>
        <w:t xml:space="preserve">De apoplexia 
 Theses, 01.11.1592</w:t>
      </w:r>
    </w:p>
    <w:p>
      <w:pPr>
        <w:pStyle w:val="ListEntry"/>
      </w:pPr>
      <w:r>
        <w:rPr>
          <w:rStyle w:val="BodyText"/>
        </w:rPr>
        <w:t xml:space="preserve">De paralysi 
 Theses, 08.12.1595. VD16 ZV 8224</w:t>
      </w:r>
    </w:p>
    <w:p>
      <w:pPr>
        <w:pStyle w:val="ListEntry"/>
      </w:pPr>
      <w:r>
        <w:rPr>
          <w:rStyle w:val="BodyText"/>
        </w:rPr>
        <w:t xml:space="preserve">De paralysi 
 Theses, 08.12.1595. VD16 ZV 8224</w:t>
      </w:r>
    </w:p>
    <w:p>
      <w:pPr>
        <w:pStyle w:val="ListEntry"/>
      </w:pPr>
      <w:r>
        <w:rPr>
          <w:rStyle w:val="BodyText"/>
        </w:rPr>
        <w:t xml:space="preserve">De dysenteria Theses, 1599. VD16 H 5026</w:t>
      </w:r>
    </w:p>
    <w:p>
      <w:pPr>
        <w:pStyle w:val="ListEntry"/>
      </w:pPr>
      <w:r>
        <w:rPr>
          <w:rStyle w:val="BodyText"/>
        </w:rPr>
        <w:t xml:space="preserve">De dysenteria Theses, 1599</w:t>
      </w:r>
    </w:p>
    <w:p>
      <w:pPr>
        <w:pStyle w:val="ListEntry"/>
      </w:pPr>
      <w:r>
        <w:rPr>
          <w:rStyle w:val="BodyText"/>
        </w:rPr>
        <w:t xml:space="preserve">De dysenteria Theses, 1599. VD16 H 5026</w:t>
      </w:r>
    </w:p>
    <w:p>
      <w:pPr>
        <w:pStyle w:val="ListEntry"/>
      </w:pPr>
      <w:r>
        <w:rPr>
          <w:rStyle w:val="BodyText"/>
        </w:rPr>
        <w:t xml:space="preserve">De communibus omnium rerum Disputationum Medicinalium Catholicarum I., 01.08.1588</w:t>
      </w:r>
    </w:p>
    <w:p>
      <w:pPr>
        <w:pStyle w:val="ListEntry"/>
      </w:pPr>
      <w:r>
        <w:rPr>
          <w:rStyle w:val="BodyText"/>
        </w:rPr>
        <w:t xml:space="preserve">De temperamentis Disputationum Medicinalium Catholicarum II., 14.08.1588</w:t>
      </w:r>
    </w:p>
    <w:p>
      <w:pPr>
        <w:pStyle w:val="ListEntry"/>
      </w:pPr>
      <w:r>
        <w:rPr>
          <w:rStyle w:val="BodyText"/>
        </w:rPr>
        <w:t xml:space="preserve">De secundis humani corporis elementis Disputationum Medicinalium Catholicarum III., 18.09.1588</w:t>
      </w:r>
    </w:p>
    <w:p>
      <w:pPr>
        <w:pStyle w:val="ListEntry"/>
      </w:pPr>
      <w:r>
        <w:rPr>
          <w:rStyle w:val="BodyText"/>
        </w:rPr>
        <w:t xml:space="preserve">De corpore hominis eiusque partibus et facultatibus Disputationum Medicinalium Catholicarum IIII.
, 23.10.1588</w:t>
      </w:r>
    </w:p>
    <w:p>
      <w:pPr>
        <w:pStyle w:val="ListEntry"/>
      </w:pPr>
      <w:r>
        <w:rPr>
          <w:rStyle w:val="BodyText"/>
        </w:rPr>
        <w:t xml:space="preserve">De passionibus corporis humani 
 Disputationum Medicinalium Catholicarum VI. 
, 1588</w:t>
      </w:r>
    </w:p>
    <w:p>
      <w:pPr>
        <w:pStyle w:val="ListEntry"/>
      </w:pPr>
      <w:r>
        <w:rPr>
          <w:rStyle w:val="BodyText"/>
        </w:rPr>
        <w:t xml:space="preserve">De actionibus corporis humani  Disputationum Medicinalium Catholicarum V., 04.11.1588</w:t>
      </w:r>
    </w:p>
    <w:p>
      <w:pPr>
        <w:pStyle w:val="ListEntry"/>
      </w:pPr>
      <w:r>
        <w:rPr>
          <w:rStyle w:val="BodyText"/>
        </w:rPr>
        <w:t xml:space="preserve">De dispositionibus corporis humani Disputationum Medicinalium Catholicarum VII. , 1589</w:t>
      </w:r>
    </w:p>
    <w:p>
      <w:pPr>
        <w:pStyle w:val="ListEntry"/>
      </w:pPr>
      <w:r>
        <w:rPr>
          <w:rStyle w:val="BodyText"/>
        </w:rPr>
        <w:t xml:space="preserve">De causis morborum praecipue internis Disputationum Medicinalium Catholicarum XI., 1590</w:t>
      </w:r>
    </w:p>
    <w:p>
      <w:pPr>
        <w:pStyle w:val="ListEntry"/>
      </w:pPr>
      <w:r>
        <w:rPr>
          <w:rStyle w:val="BodyText"/>
        </w:rPr>
        <w:t xml:space="preserve">De morbis eorumque differentiis atque speciebus Disputationum Medicinalium Catholicarum X., 1590</w:t>
      </w:r>
    </w:p>
    <w:p>
      <w:pPr>
        <w:pStyle w:val="ListEntry"/>
      </w:pPr>
      <w:r>
        <w:rPr>
          <w:rStyle w:val="BodyText"/>
        </w:rPr>
        <w:t xml:space="preserve">De modo generationis morborum in compositione &amp; in solutione continui ex causis eorum Disputationum Medicinalium Catholicarum XIII., 1590</w:t>
      </w:r>
    </w:p>
    <w:p>
      <w:pPr>
        <w:pStyle w:val="ListEntry"/>
      </w:pPr>
      <w:r>
        <w:rPr>
          <w:rStyle w:val="BodyText"/>
        </w:rPr>
        <w:t xml:space="preserve">De symptomatibus morborum
 Disputationum Medicinalium Catholicarum XIV., 1590</w:t>
      </w:r>
    </w:p>
    <w:p>
      <w:pPr>
        <w:pStyle w:val="ListEntry"/>
      </w:pPr>
      <w:r>
        <w:rPr>
          <w:rStyle w:val="BodyText"/>
        </w:rPr>
        <w:t xml:space="preserve">De crisibus morborum et criticis diebus Disputationum Medicinalium Catholicarum XVI., 25.05.1597</w:t>
      </w:r>
    </w:p>
    <w:p>
      <w:pPr>
        <w:pStyle w:val="ListEntry"/>
      </w:pPr>
      <w:r>
        <w:rPr>
          <w:rStyle w:val="BodyText"/>
        </w:rPr>
        <w:t xml:space="preserve">De memoria bona conservanda Theses medicae, 22.04.1585</w:t>
      </w:r>
    </w:p>
    <w:p>
      <w:pPr>
        <w:pStyle w:val="Heading2"/>
      </w:pPr>
      <w:bookmarkStart w:id="4" w:name="_Toc4"/>
      <w:r>
        <w:t>Beteiligung an Reden und Programmen (2)</w:t>
      </w:r>
      <w:bookmarkEnd w:id="4"/>
    </w:p>
    <w:p>
      <w:pPr>
        <w:pStyle w:val="ListEntry"/>
      </w:pPr>
      <w:r>
        <w:rPr>
          <w:rStyle w:val="BodyText"/>
        </w:rPr>
        <w:t xml:space="preserve">contributor in: Salomon Frenzel von Friedenthal: De Mirabilibus in opere incarnationis filii dei Oratio . VD16 F 2658</w:t>
      </w:r>
    </w:p>
    <w:p>
      <w:pPr>
        <w:pStyle w:val="ListEntry"/>
      </w:pPr>
      <w:r>
        <w:rPr>
          <w:rStyle w:val="BodyText"/>
        </w:rPr>
        <w:t xml:space="preserve">contributor in: Salomon Frenzel von Friedenthal: De triplici patria Oratio. VD16 VD 16 F 2662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Jacob Horst. In: Wissensproduktion an der Universität Helmstedt. Forschungsportal zur frühneuzeitlichen Universitätsgeschichte. Hrsg. von der Herzog August Bibliothek Wolfenbüttel. 2010–2013. Relaunch 2026. Permalink: https://uni-helmstedt.hab.de/prof-115-horst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Jacob Horst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2026-07-08T04:37:46+00:00</dcterms:created>
  <dcterms:modified xsi:type="dcterms:W3CDTF">2026-07-08T04:37:46+00:00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