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Lotichius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1576 in Lamspringe/ Alfeld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1650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in Helmstedt (1612–1617); Jur. o. Prof. in Helmstedt (1617–1650);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Joannes Lotichius Lamspringensis (19.05.1598)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Margarete Lotichius geborene Meerdorff (22.09.1597–24.02.1664), Heirat 1616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https://d-nb.info/gnd/104317663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https://uni-helmstedt.hab.de/prof-138-lotichius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1612–1617 Lehrstuhl für [o. A.], Helmstedt</w:t>
      </w:r>
    </w:p>
    <w:p>
      <w:pPr>
        <w:pStyle w:val="ListEntry"/>
      </w:pPr>
      <w:r>
        <w:rPr>
          <w:rStyle w:val="BodyText"/>
        </w:rPr>
        <w:t xml:space="preserve">1617–1650 Lehrstuhl für [o. A.], Helmstedt</w:t>
      </w:r>
    </w:p>
    <w:p>
      <w:pPr>
        <w:pStyle w:val="Heading2"/>
      </w:pPr>
      <w:bookmarkStart w:id="2" w:name="_Toc2"/>
      <w:r>
        <w:t>Vorlesungen (12)</w:t>
      </w:r>
      <w:bookmarkEnd w:id="2"/>
    </w:p>
    <w:p>
      <w:pPr>
        <w:pStyle w:val="ListEntry"/>
      </w:pPr>
      <w:r>
        <w:rPr>
          <w:rStyle w:val="BodyText"/>
        </w:rPr>
        <w:t xml:space="preserve">Iohannes Lotichivs D. explicat partes Digestorum posteriores, &amp; iam versatur in doctrina Interdictorum singulas leges perutili commentario illustrat, earumq; vsum in causis mandatorum, vt hodie vocant, ostendit, quibuscum affines Codicis titulos eadem opera persequitur: hora matutina 7., Sommersemester 1620</w:t>
      </w:r>
    </w:p>
    <w:p>
      <w:pPr>
        <w:pStyle w:val="ListEntry"/>
      </w:pPr>
      <w:r>
        <w:rPr>
          <w:rStyle w:val="BodyText"/>
        </w:rPr>
        <w:t xml:space="preserve">Iohannes Lotichivs D. 18. Maij Anno 1620 pervenit ad explicationem t. Vti poßidetis. Vbi reliqua retinendae posseßionis remedia recensuit, sequentes quoq. sedecim titulos interpretatus fuit, &amp; ito integrum librum 4.3. storum absolvit 13. Aprilis Anno 1622. Porro titulum De reb. cred. si certum pet. &amp; de condict. proposuit, ubi singulas leges ordine enarravit. Deinceps vero tit. De usurp. &amp; usuc. explicabit., Sommersemester 1623</w:t>
      </w:r>
    </w:p>
    <w:p>
      <w:pPr>
        <w:pStyle w:val="ListEntry"/>
      </w:pPr>
      <w:r>
        <w:rPr>
          <w:rStyle w:val="BodyText"/>
        </w:rPr>
        <w:t xml:space="preserve">Iohannes Lotichivs D. postquam ea quae de praescriptionibus in Iure ciuile sunt prodita recensuit, coepit enarrare tit. Extra de praescript, vbi explicabit singula cap. &amp; quantum jus Canoncium a ciuili hac in parte dicrepet ostendet. Quod necessum est addere: quia secundum communiem opinionem, in materia praescriptionum jus Can. sequimur., Sommersemester 1625</w:t>
      </w:r>
    </w:p>
    <w:p>
      <w:pPr>
        <w:pStyle w:val="ListEntry"/>
      </w:pPr>
      <w:r>
        <w:rPr>
          <w:rStyle w:val="BodyText"/>
        </w:rPr>
        <w:t xml:space="preserve">Iohannes Lotichivs D. quantus singulas explicat leges, absolvit tit. de procurat: nunc perget tit. seq. Quod cuiuscunque uniuersitat. nom. uel cont. eam agatur lib. 3.t.4. Praeterae in tabula proposuit universos pandectarum titulos, quos quotidie auditoribus inculcat, &amp; prooemij loco, singulis lectionibus, per horae quadrantem, unius atq. alterius tituli generalem explicationem praemittit. Haec repetijt nuper ab initiofftorum, &amp; pervenit in istis generalibus tradendis usque ad tit. de Iudicijs lib. 5. Docet h. IX., Sommersemester 1639</w:t>
      </w:r>
    </w:p>
    <w:p>
      <w:pPr>
        <w:pStyle w:val="ListEntry"/>
      </w:pPr>
      <w:r>
        <w:rPr>
          <w:rStyle w:val="BodyText"/>
        </w:rPr>
        <w:t xml:space="preserve">Iohannes Lotichivs D. explicitis ijs, quae faciunt ad processum ordinarium expediendum, enarrabit varios modos, &amp; legum beneficia, quibus extra ordinem de plano, &amp; sine figura judicij jus dici debet., Sommersemester 1640</w:t>
      </w:r>
    </w:p>
    <w:p>
      <w:pPr>
        <w:pStyle w:val="ListEntry"/>
      </w:pPr>
      <w:r>
        <w:rPr>
          <w:rStyle w:val="BodyText"/>
        </w:rPr>
        <w:t xml:space="preserve">Iohannes Lotichivs D. se accinget proxime ad recitandas leges tit. de reb. credit. &amp; de condict., Wintersemester 1641/1642</w:t>
      </w:r>
    </w:p>
    <w:p>
      <w:pPr>
        <w:pStyle w:val="ListEntry"/>
      </w:pPr>
      <w:r>
        <w:rPr>
          <w:rStyle w:val="BodyText"/>
        </w:rPr>
        <w:t xml:space="preserve">Iohannes Lotichivs D. enarrabit t. de praescript. verb. &amp; in factum actionibus., Wintersemester 1642/1643</w:t>
      </w:r>
    </w:p>
    <w:p>
      <w:pPr>
        <w:pStyle w:val="ListEntry"/>
      </w:pPr>
      <w:r>
        <w:rPr>
          <w:rStyle w:val="BodyText"/>
        </w:rPr>
        <w:t xml:space="preserve">Iohannes Lotichivs D. sicuti hactenus recnsuit varias actiones, praesertim ex t. de prascript. verb. ita in earundem enarratione commorabitur, quae occurrunt in t.ff. &amp; C. de dolo malo, cogitat quoq. adjicere interpretationem t. de doli mali &amp; met. exceptione., Wintersemester 1643/1644</w:t>
      </w:r>
    </w:p>
    <w:p>
      <w:pPr>
        <w:pStyle w:val="ListEntry"/>
      </w:pPr>
      <w:r>
        <w:rPr>
          <w:rStyle w:val="BodyText"/>
        </w:rPr>
        <w:t xml:space="preserve">Iohannes Lotichivs D. explicitis ijs, quae faciunt ad processum ordinarium expediendum, enarrabit varios modos, &amp; legum beneficia, quibus extra ordinem de plano, &amp; sine figura iudicij jus dici debet., Wintersemester 1644/1645</w:t>
      </w:r>
    </w:p>
    <w:p>
      <w:pPr>
        <w:pStyle w:val="ListEntry"/>
      </w:pPr>
      <w:r>
        <w:rPr>
          <w:rStyle w:val="BodyText"/>
        </w:rPr>
        <w:t xml:space="preserve">, Sommersemester 1646</w:t>
      </w:r>
    </w:p>
    <w:p>
      <w:pPr>
        <w:pStyle w:val="ListEntry"/>
      </w:pPr>
      <w:r>
        <w:rPr>
          <w:rStyle w:val="BodyText"/>
        </w:rPr>
        <w:t xml:space="preserve">Iohannes Loticihivs D. in legum interpretatione, &amp; communi hoc exercitio perget, earumque usum explicabit., Sommersemester 1647</w:t>
      </w:r>
    </w:p>
    <w:p>
      <w:pPr>
        <w:pStyle w:val="ListEntry"/>
      </w:pPr>
      <w:r>
        <w:rPr>
          <w:rStyle w:val="BodyText"/>
        </w:rPr>
        <w:t xml:space="preserve">Johannes Lotichius D. hodie Decanus ob Decanatus negotia a lectura retractus fuit ad quam tamen, Deo volente, quam primum redibit., Wintersemester 1648/1649</w:t>
      </w:r>
    </w:p>
    <w:p>
      <w:pPr>
        <w:pStyle w:val="Heading2"/>
      </w:pPr>
      <w:bookmarkStart w:id="3" w:name="_Toc3"/>
      <w:r>
        <w:t>Dissertationen (32)</w:t>
      </w:r>
      <w:bookmarkEnd w:id="3"/>
    </w:p>
    <w:p>
      <w:pPr>
        <w:pStyle w:val="ListEntry"/>
      </w:pPr>
      <w:r>
        <w:rPr>
          <w:rStyle w:val="BodyText"/>
        </w:rPr>
        <w:t xml:space="preserve">De exceptionibus in genere et in specie de exceptione fori seu incompetentiae, 12.10.1637</w:t>
      </w:r>
    </w:p>
    <w:p>
      <w:pPr>
        <w:pStyle w:val="ListEntry"/>
      </w:pPr>
      <w:r>
        <w:rPr>
          <w:rStyle w:val="BodyText"/>
        </w:rPr>
        <w:t xml:space="preserve">De conventionibus in genere et in specie de pactis, 27.02.1638. VD17 7:703143Q</w:t>
      </w:r>
    </w:p>
    <w:p>
      <w:pPr>
        <w:pStyle w:val="ListEntry"/>
      </w:pPr>
      <w:r>
        <w:rPr>
          <w:rStyle w:val="BodyText"/>
        </w:rPr>
        <w:t xml:space="preserve">De contractu emphyteutico, 27.06.1638</w:t>
      </w:r>
    </w:p>
    <w:p>
      <w:pPr>
        <w:pStyle w:val="ListEntry"/>
      </w:pPr>
      <w:r>
        <w:rPr>
          <w:rStyle w:val="BodyText"/>
        </w:rPr>
        <w:t xml:space="preserve">De sententia ejusque executione, 29.04.1640. VD17 23:253686W</w:t>
      </w:r>
    </w:p>
    <w:p>
      <w:pPr>
        <w:pStyle w:val="ListEntry"/>
      </w:pPr>
      <w:r>
        <w:rPr>
          <w:rStyle w:val="BodyText"/>
        </w:rPr>
        <w:t xml:space="preserve">De restitutione in integrum et ejus speciebus sex, 20.05.1640. VD17 23:253703B</w:t>
      </w:r>
    </w:p>
    <w:p>
      <w:pPr>
        <w:pStyle w:val="ListEntry"/>
      </w:pPr>
      <w:r>
        <w:rPr>
          <w:rStyle w:val="BodyText"/>
        </w:rPr>
        <w:t xml:space="preserve">De pignoribus et hypothecis, 10.11.1640. VD17 23:253714R</w:t>
      </w:r>
    </w:p>
    <w:p>
      <w:pPr>
        <w:pStyle w:val="ListEntry"/>
      </w:pPr>
      <w:r>
        <w:rPr>
          <w:rStyle w:val="BodyText"/>
        </w:rPr>
        <w:t xml:space="preserve">De jurisdictione, 10.11.1640. VD17 23:253706Z</w:t>
      </w:r>
    </w:p>
    <w:p>
      <w:pPr>
        <w:pStyle w:val="ListEntry"/>
      </w:pPr>
      <w:r>
        <w:rPr>
          <w:rStyle w:val="BodyText"/>
        </w:rPr>
        <w:t xml:space="preserve">De usufructu, usu et habitatione, 10.04.1641. VD17 23:253721Z</w:t>
      </w:r>
    </w:p>
    <w:p>
      <w:pPr>
        <w:pStyle w:val="ListEntry"/>
      </w:pPr>
      <w:r>
        <w:rPr>
          <w:rStyle w:val="BodyText"/>
        </w:rPr>
        <w:t xml:space="preserve">De comitiis Imperii Romano-Germanici, 12.08.1641. VD17 3:654062H</w:t>
      </w:r>
    </w:p>
    <w:p>
      <w:pPr>
        <w:pStyle w:val="ListEntry"/>
      </w:pPr>
      <w:r>
        <w:rPr>
          <w:rStyle w:val="BodyText"/>
        </w:rPr>
        <w:t xml:space="preserve">De foro competente tam communi quam privilegiato, 10.11.1641. VD17 7:639212B</w:t>
      </w:r>
    </w:p>
    <w:p>
      <w:pPr>
        <w:pStyle w:val="ListEntry"/>
      </w:pPr>
      <w:r>
        <w:rPr>
          <w:rStyle w:val="BodyText"/>
        </w:rPr>
        <w:t xml:space="preserve">De foro competente tam communi quam privilegiato, 10.11.1640. VD17 23:250761N</w:t>
      </w:r>
    </w:p>
    <w:p>
      <w:pPr>
        <w:pStyle w:val="ListEntry"/>
      </w:pPr>
      <w:r>
        <w:rPr>
          <w:rStyle w:val="BodyText"/>
        </w:rPr>
        <w:t xml:space="preserve">De successionibus ab intestato, 30.04.1642. VD17 23:253743C</w:t>
      </w:r>
    </w:p>
    <w:p>
      <w:pPr>
        <w:pStyle w:val="ListEntry"/>
      </w:pPr>
      <w:r>
        <w:rPr>
          <w:rStyle w:val="BodyText"/>
        </w:rPr>
        <w:t xml:space="preserve">De jure primogeniturae seu de primogeniis illustrium Imperii, 21.09.1643. VD17 23:253750M</w:t>
      </w:r>
    </w:p>
    <w:p>
      <w:pPr>
        <w:pStyle w:val="ListEntry"/>
      </w:pPr>
      <w:r>
        <w:rPr>
          <w:rStyle w:val="BodyText"/>
        </w:rPr>
        <w:t xml:space="preserve">De poenis juxta cujuscunque delicti meritum juste aestimandis, 21.09.1643. VD17 23:253752B</w:t>
      </w:r>
    </w:p>
    <w:p>
      <w:pPr>
        <w:pStyle w:val="ListEntry"/>
      </w:pPr>
      <w:r>
        <w:rPr>
          <w:rStyle w:val="BodyText"/>
        </w:rPr>
        <w:t xml:space="preserve">De compensationibus, 02.03.1644. VD17 23:253765F</w:t>
      </w:r>
    </w:p>
    <w:p>
      <w:pPr>
        <w:pStyle w:val="ListEntry"/>
      </w:pPr>
      <w:r>
        <w:rPr>
          <w:rStyle w:val="BodyText"/>
        </w:rPr>
        <w:t xml:space="preserve">De mora, 10.12.1645. VD17 23:250765T</w:t>
      </w:r>
    </w:p>
    <w:p>
      <w:pPr>
        <w:pStyle w:val="ListEntry"/>
      </w:pPr>
      <w:r>
        <w:rPr>
          <w:rStyle w:val="BodyText"/>
        </w:rPr>
        <w:t xml:space="preserve">De exceptionibus in genere et summatim, potissimum de variis dilatoriarum et peremptoriarum speciebus, 1649. VD17 14:060031D</w:t>
      </w:r>
    </w:p>
    <w:p>
      <w:pPr>
        <w:pStyle w:val="ListEntry"/>
      </w:pPr>
      <w:r>
        <w:rPr>
          <w:rStyle w:val="BodyText"/>
        </w:rPr>
        <w:t xml:space="preserve">De melioratione feudali, 30.01.1649. VD17 23:250840X</w:t>
      </w:r>
    </w:p>
    <w:p>
      <w:pPr>
        <w:pStyle w:val="ListEntry"/>
      </w:pPr>
      <w:r>
        <w:rPr>
          <w:rStyle w:val="BodyText"/>
        </w:rPr>
        <w:t xml:space="preserve">De jure retractus, 30.01.1649. VD17 23:250883W</w:t>
      </w:r>
    </w:p>
    <w:p>
      <w:pPr>
        <w:pStyle w:val="ListEntry"/>
      </w:pPr>
      <w:r>
        <w:rPr>
          <w:rStyle w:val="BodyText"/>
        </w:rPr>
        <w:t xml:space="preserve">De obligationibus ex delicto ex Inst. 4. 1-5, 05.12.1607</w:t>
      </w:r>
    </w:p>
    <w:p>
      <w:pPr>
        <w:pStyle w:val="ListEntry"/>
      </w:pPr>
      <w:r>
        <w:rPr>
          <w:rStyle w:val="BodyText"/>
        </w:rPr>
        <w:t xml:space="preserve">De interdictis, 05.03.1614. VD17 12:133939U</w:t>
      </w:r>
    </w:p>
    <w:p>
      <w:pPr>
        <w:pStyle w:val="ListEntry"/>
      </w:pPr>
      <w:r>
        <w:rPr>
          <w:rStyle w:val="BodyText"/>
        </w:rPr>
        <w:t xml:space="preserve">Super 1. diffamari C. de ingen. manum (C. 7. 14.5), 08.05.1616. VD17 7:639377K</w:t>
      </w:r>
    </w:p>
    <w:p>
      <w:pPr>
        <w:pStyle w:val="ListEntry"/>
      </w:pPr>
      <w:r>
        <w:rPr>
          <w:rStyle w:val="BodyText"/>
        </w:rPr>
        <w:t xml:space="preserve">De mutuo et monetae mutatione, 31.01.1617. VD17 23:313187R</w:t>
      </w:r>
    </w:p>
    <w:p>
      <w:pPr>
        <w:pStyle w:val="ListEntry"/>
      </w:pPr>
      <w:r>
        <w:rPr>
          <w:rStyle w:val="BodyText"/>
        </w:rPr>
        <w:t xml:space="preserve">De jure emphyteutico, 01.03.1617. VD17 3:668328Q</w:t>
      </w:r>
    </w:p>
    <w:p>
      <w:pPr>
        <w:pStyle w:val="ListEntry"/>
      </w:pPr>
      <w:r>
        <w:rPr>
          <w:rStyle w:val="BodyText"/>
        </w:rPr>
        <w:t xml:space="preserve">De testamentis, 16.04.1617. VD17 23:313179Z</w:t>
      </w:r>
    </w:p>
    <w:p>
      <w:pPr>
        <w:pStyle w:val="ListEntry"/>
      </w:pPr>
      <w:r>
        <w:rPr>
          <w:rStyle w:val="BodyText"/>
        </w:rPr>
        <w:t xml:space="preserve">De transactionibus, 25.07.1617. VD17 23:234960B</w:t>
      </w:r>
    </w:p>
    <w:p>
      <w:pPr>
        <w:pStyle w:val="ListEntry"/>
      </w:pPr>
      <w:r>
        <w:rPr>
          <w:rStyle w:val="BodyText"/>
        </w:rPr>
        <w:t xml:space="preserve">De ineunda rei debitae aestimatione, 04.04.1618. VD17 1:005734S</w:t>
      </w:r>
    </w:p>
    <w:p>
      <w:pPr>
        <w:pStyle w:val="ListEntry"/>
      </w:pPr>
      <w:r>
        <w:rPr>
          <w:rStyle w:val="BodyText"/>
        </w:rPr>
        <w:t xml:space="preserve">De mora, 22.04.1619. VD17 1:005736G</w:t>
      </w:r>
    </w:p>
    <w:p>
      <w:pPr>
        <w:pStyle w:val="ListEntry"/>
      </w:pPr>
      <w:r>
        <w:rPr>
          <w:rStyle w:val="BodyText"/>
        </w:rPr>
        <w:t xml:space="preserve">De usufructu, 28.07.1619. VD17 3:668385F</w:t>
      </w:r>
    </w:p>
    <w:p>
      <w:pPr>
        <w:pStyle w:val="ListEntry"/>
      </w:pPr>
      <w:r>
        <w:rPr>
          <w:rStyle w:val="BodyText"/>
        </w:rPr>
        <w:t xml:space="preserve">De inofficioso testamento, 08.04.1620. VD17 23:250748C</w:t>
      </w:r>
    </w:p>
    <w:p>
      <w:pPr>
        <w:pStyle w:val="ListEntry"/>
      </w:pPr>
      <w:r>
        <w:rPr>
          <w:rStyle w:val="BodyText"/>
        </w:rPr>
        <w:t xml:space="preserve">De jure emphyteutico, 14.10.1630. VD17 7:639674C</w:t>
      </w:r>
    </w:p>
    <w:p>
      <w:pPr>
        <w:pStyle w:val="ListEntry"/>
      </w:pPr>
      <w:r>
        <w:rPr>
          <w:rStyle w:val="BodyText"/>
        </w:rPr>
        <w:t xml:space="preserve">De actionibus, 22.03.1631. VD17 7:702656S</w:t>
      </w:r>
    </w:p>
    <w:p>
      <w:pPr>
        <w:pStyle w:val="Heading2"/>
      </w:pPr>
      <w:bookmarkStart w:id="4" w:name="_Toc4"/>
      <w:r>
        <w:t>Beteiligung an Dissertationen (3)</w:t>
      </w:r>
      <w:bookmarkEnd w:id="4"/>
    </w:p>
    <w:p>
      <w:pPr>
        <w:pStyle w:val="ListEntry"/>
      </w:pPr>
      <w:r>
        <w:rPr>
          <w:rStyle w:val="BodyText"/>
        </w:rPr>
        <w:t xml:space="preserve">Respondent in: Ad explicationem D. 2, 24.01.1638. VD17 23:683240W</w:t>
      </w:r>
    </w:p>
    <w:p>
      <w:pPr>
        <w:pStyle w:val="ListEntry"/>
      </w:pPr>
      <w:r>
        <w:rPr>
          <w:rStyle w:val="BodyText"/>
        </w:rPr>
        <w:t xml:space="preserve">Respondent in: Johann Barter (Präses): De actionibus, 04.10.1606. VD17 23:254082N</w:t>
      </w:r>
    </w:p>
    <w:p>
      <w:pPr>
        <w:pStyle w:val="ListEntry"/>
      </w:pPr>
      <w:r>
        <w:rPr>
          <w:rStyle w:val="BodyText"/>
        </w:rPr>
        <w:t xml:space="preserve">Respondent in: Johann Barter (Präses): De usufructu, usu et habitatione, 20.01.1615. VD17 23:313155F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Johann Lotichius. In: Wissensproduktion an der Universität Helmstedt. Forschungsportal zur frühneuzeitlichen Universitätsgeschichte. Hrsg. von der Herzog August Bibliothek Wolfenbüttel. 2010–2013. Relaunch 2026. Permalink: https://uni-helmstedt.hab.de/prof-138-lotichius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Lotichius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2026-07-08T00:55:39+00:00</dcterms:created>
  <dcterms:modified xsi:type="dcterms:W3CDTF">2026-07-08T00:55:39+00:00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