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Prof. Johannes Mebesius</w:t>
      </w:r>
      <w:bookmarkEnd w:id="0"/>
    </w:p>
    <w:p>
      <w:pPr/>
      <w:r>
        <w:pict>
          <v:shape id="_x0000_s1002" type="#_x0000_t32" style="width:100pt; height:1pt; margin-left:0pt; margin-top:0pt; mso-position-horizontal:left; mso-position-vertical:top; mso-position-horizontal-relative:char; mso-position-vertical-relative:line;">
            <w10:wrap type="inline"/>
            <v:stroke weight="1pt" color="635552"/>
          </v:shape>
        </w:pict>
      </w:r>
    </w:p>
    <w:tbl>
      <w:tblGrid>
        <w:gridCol w:w="1800" w:type="dxa"/>
        <w:gridCol w:w="7100" w:type="dxa"/>
      </w:tblGrid>
      <w:tblPr>
        <w:tblStyle w:val="default"/>
      </w:tblP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Fakultät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Theologische Fakultät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Geboren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1542 in Brechen (Erzbistum Trier)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Gestorben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1592 in Helmstedt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Kurzvita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Theol. Prof. u. Prof. d. hebräischen Sprache in Helmstedt (1589–1592); 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Ehefrauen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Katharina Mebesius geborene Langenstein, Heirat 1571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GND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https://d-nb.info/gnd/129997404</w:t>
            </w:r>
          </w:p>
        </w:tc>
      </w:tr>
      <w:tr>
        <w:trPr>
          <w:trHeight w:val="300" w:hRule="atLeast"/>
        </w:trPr>
        <w:tc>
          <w:tcPr>
            <w:tcW w:w="18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Permalink</w:t>
            </w:r>
          </w:p>
        </w:tc>
        <w:tc>
          <w:tcPr>
            <w:tcW w:w="7100" w:type="dxa"/>
            <w:tcBorders>
              <w:top w:val="single" w:sz="6" w:color="ffffff"/>
              <w:left w:val="single" w:sz="6" w:color="ffffff"/>
              <w:right w:val="single" w:sz="6" w:color="ffffff"/>
              <w:bottom w:val="single" w:sz="6" w:color="ffffff"/>
            </w:tcBorders>
            <w:noWrap/>
          </w:tcPr>
          <w:p>
            <w:pPr/>
            <w:r>
              <w:rPr>
                <w:rStyle w:val="BodyText"/>
              </w:rPr>
              <w:t xml:space="preserve">https://uni-helmstedt.hab.de/prof-142-mebesius</w:t>
            </w:r>
          </w:p>
        </w:tc>
      </w:tr>
    </w:tbl>
    <w:p>
      <w:pPr>
        <w:pStyle w:val="Heading2"/>
      </w:pPr>
      <w:bookmarkStart w:id="1" w:name="_Toc1"/>
      <w:r>
        <w:t>Lehrstühle</w:t>
      </w:r>
      <w:bookmarkEnd w:id="1"/>
    </w:p>
    <w:p>
      <w:pPr>
        <w:pStyle w:val="ListEntry"/>
      </w:pPr>
      <w:r>
        <w:rPr>
          <w:rStyle w:val="BodyText"/>
        </w:rPr>
        <w:t xml:space="preserve">1589–1592 Lehrstuhl für Hebräisch, Helmstedt</w:t>
      </w:r>
    </w:p>
    <w:p>
      <w:pPr>
        <w:pStyle w:val="Heading2"/>
      </w:pPr>
      <w:bookmarkStart w:id="2" w:name="_Toc2"/>
      <w:r>
        <w:t>Zitierhinweis</w:t>
      </w:r>
      <w:bookmarkEnd w:id="2"/>
    </w:p>
    <w:p>
      <w:pPr/>
      <w:r>
        <w:rPr>
          <w:rStyle w:val="BodyText"/>
        </w:rPr>
        <w:t xml:space="preserve">Prof. Johannes Mebesius. In: Wissensproduktion an der Universität Helmstedt. Forschungsportal zur frühneuzeitlichen Universitätsgeschichte. Hrsg. von der Herzog August Bibliothek Wolfenbüttel. 2010–2013. Relaunch 2026. Permalink: https://uni-helmstedt.hab.de/prof-142-mebesius [07.07.2026]</w:t>
      </w:r>
    </w:p>
    <w:sectPr>
      <w:headerReference w:type="first" r:id="rId7"/>
      <w:headerReference w:type="default" r:id="rId8"/>
      <w:footerReference w:type="default" r:id="rId9"/>
      <w:titlePg/>
      <w:pgSz w:orient="portrait" w:w="11905.511811023622" w:h="16837.79527559055"/>
      <w:pgMar w:top="26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instrText xml:space="preserve">PAGE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/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2500" w:type="dxa"/>
      <w:gridCol w:w="7000" w:type="dxa"/>
      <w:gridCol w:w="2500" w:type="dxa"/>
    </w:tblGrid>
    <w:tblPr>
      <w:tblW w:w="5000" w:type="pct"/>
      <w:tblLayout w:type="autofit"/>
    </w:tblPr>
    <w:tr>
      <w:trPr>
        <w:trHeight w:val="1000" w:hRule="atLeast"/>
      </w:trPr>
      <w:tc>
        <w:tcPr>
          <w:tcW w:w="2500" w:type="dxa"/>
          <w:noWrap/>
        </w:tcPr>
        <w:p/>
      </w:tc>
      <w:tc>
        <w:tcPr>
          <w:tcW w:w="7000" w:type="dxa"/>
          <w:noWrap/>
        </w:tcPr>
        <w:p>
          <w:pPr>
            <w:pStyle w:val="Header"/>
          </w:pPr>
          <w:r>
            <w:rPr>
              <w:rStyle w:val="BodyText"/>
            </w:rPr>
            <w:t xml:space="preserve">CPH: Johannes Mebesius</w:t>
          </w:r>
        </w:p>
      </w:tc>
      <w:tc>
        <w:tcPr>
          <w:tcW w:w="2500" w:type="dxa"/>
          <w:tcMar>
            <w:start w:w="283" w:type="dxa"/>
          </w:tcMar>
          <w:noWrap/>
        </w:tcPr>
        <w:p>
          <w:pPr/>
          <w:r>
            <w:pict>
              <v:shape type="#_x0000_t75" stroked="f" style="width:100pt; height:83.817427385892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120" w:after="240"/>
    </w:pPr>
    <w:rPr>
      <w:rFonts w:ascii="Roboto Mono" w:hAnsi="Roboto Mono" w:eastAsia="Roboto Mono" w:cs="Roboto Mono"/>
      <w:color w:val="1A1A1A"/>
      <w:sz w:val="52"/>
      <w:szCs w:val="52"/>
      <w:smallCaps w:val="0"/>
      <w:caps w:val="1"/>
    </w:rPr>
  </w:style>
  <w:style w:type="paragraph" w:styleId="Heading2">
    <w:link w:val="Heading2Char"/>
    <w:name w:val="heading 2"/>
    <w:basedOn w:val="Normal"/>
    <w:pPr>
      <w:jc w:val="center"/>
      <w:spacing w:before="200" w:after="150"/>
    </w:pPr>
    <w:rPr>
      <w:rFonts w:ascii="Roboto Mono" w:hAnsi="Roboto Mono" w:eastAsia="Roboto Mono" w:cs="Roboto Mono"/>
      <w:sz w:val="20"/>
      <w:szCs w:val="20"/>
      <w:b w:val="1"/>
      <w:bCs w:val="1"/>
    </w:rPr>
  </w:style>
  <w:style w:type="character">
    <w:name w:val="BodyText"/>
    <w:rPr>
      <w:rFonts w:ascii="Spectral" w:hAnsi="Spectral" w:eastAsia="Spectral" w:cs="Spectral"/>
      <w:sz w:val="19"/>
      <w:szCs w:val="19"/>
    </w:rPr>
  </w:style>
  <w:style w:type="paragraph" w:customStyle="1" w:styleId="ListEntry">
    <w:name w:val="ListEntry"/>
    <w:basedOn w:val="Normal"/>
    <w:pPr>
      <w:spacing w:after="90"/>
    </w:pPr>
  </w:style>
  <w:style w:type="table" w:customStyle="1" w:styleId="default">
    <w:name w:val="default"/>
    <w:uiPriority w:val="99"/>
    <w:tblPr>
      <w:tblW w:w="0" w:type="auto"/>
      <w:tblLayout w:type="autofit"/>
      <w:tblCellMar>
        <w:top w:w="0" w:type="dxa"/>
        <w:left w:w="50" w:type="dxa"/>
        <w:right w:w="5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paragraph" w:customStyle="1" w:styleId="Header">
    <w:name w:val="Header"/>
    <w:basedOn w:val="Normal"/>
    <w:pPr>
      <w:jc w:val="center"/>
      <w:spacing w:before="7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header2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2026-07-07T23:42:28+00:00</dcterms:created>
  <dcterms:modified xsi:type="dcterms:W3CDTF">2026-07-07T23:42:28+00:00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