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Heinrich Meibom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1590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1655 in Lübeck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Med. o. Prof. der Physiologie in Helmstedt (1619–1625, 1628–1629); Stadtarzt in Lübeck (1629–1655);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Johannes Henricus Meibomus Helmaestadenses (17.11.1596)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Elisabeth Meibom  geborene Oberberg, Heirat 1622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https://d-nb.info/gnd/104273704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https://uni-helmstedt.hab.de/prof-148-meibom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1619–1625 Lehrstuhl für Physiologie, Helmstedt</w:t>
      </w:r>
    </w:p>
    <w:p>
      <w:pPr>
        <w:pStyle w:val="ListEntry"/>
      </w:pPr>
      <w:r>
        <w:rPr>
          <w:rStyle w:val="BodyText"/>
        </w:rPr>
        <w:t xml:space="preserve">1628–1629 Lehrstuhl für Physiologie,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1629–1655: Lübeck, Stadtarzt</w:t>
      </w:r>
    </w:p>
    <w:p>
      <w:pPr>
        <w:pStyle w:val="Heading2"/>
      </w:pPr>
      <w:bookmarkStart w:id="3" w:name="_Toc3"/>
      <w:r>
        <w:t>Vorlesungen (6)</w:t>
      </w:r>
      <w:bookmarkEnd w:id="3"/>
    </w:p>
    <w:p>
      <w:pPr>
        <w:pStyle w:val="ListEntry"/>
      </w:pPr>
      <w:r>
        <w:rPr>
          <w:rStyle w:val="BodyText"/>
        </w:rPr>
        <w:t xml:space="preserve">D. Ioannes -Henricvs Meibomivs absoluta nunc sanitatis, temperamentorum, calidi innati &amp; spirituum doctrina, triplices animae in corpore functiones pertractabit, atq; ita primam Medicinae partem hac aestate absoluet., Sommersemester 1620</w:t>
      </w:r>
    </w:p>
    <w:p>
      <w:pPr>
        <w:pStyle w:val="ListEntry"/>
      </w:pPr>
      <w:r>
        <w:rPr>
          <w:rStyle w:val="BodyText"/>
        </w:rPr>
        <w:t xml:space="preserve">[...] publicae disquisitioni subijciet., Sommersemester 1623</w:t>
      </w:r>
    </w:p>
    <w:p>
      <w:pPr>
        <w:pStyle w:val="ListEntry"/>
      </w:pPr>
      <w:r>
        <w:rPr>
          <w:rStyle w:val="BodyText"/>
        </w:rPr>
        <w:t xml:space="preserve">[...] interim privatim explicat institutiones Medicas Duncani Liddelij quo facto totius artis compendium disputationibus non ita multis comprehensum quod auditoribus suis promisit, [...], Sommersemester 1623</w:t>
      </w:r>
    </w:p>
    <w:p>
      <w:pPr>
        <w:pStyle w:val="ListEntry"/>
      </w:pPr>
      <w:r>
        <w:rPr>
          <w:rStyle w:val="BodyText"/>
        </w:rPr>
        <w:t xml:space="preserve">Ioan. Henricvs Meibomivs D. absolutis morborum caussarum &amp; partium adfectarum signis Prognosin Medicam tradet, [...], Sommersemester 1623</w:t>
      </w:r>
    </w:p>
    <w:p>
      <w:pPr>
        <w:pStyle w:val="ListEntry"/>
      </w:pPr>
      <w:r>
        <w:rPr>
          <w:rStyle w:val="BodyText"/>
        </w:rPr>
        <w:t xml:space="preserve">D. Ioan. Henricvs Meibomivs perget in explicanda Pathologiae parte priori: [...], Sommersemester 1625</w:t>
      </w:r>
    </w:p>
    <w:p>
      <w:pPr>
        <w:pStyle w:val="ListEntry"/>
      </w:pPr>
      <w:r>
        <w:rPr>
          <w:rStyle w:val="BodyText"/>
        </w:rPr>
        <w:t xml:space="preserve">[...] priuatim vero breuem de medicamentis purgantibus tractatum, ab auditoribus suis vt id faceret rogatus, proponet., Sommersemester 1625</w:t>
      </w:r>
    </w:p>
    <w:p>
      <w:pPr>
        <w:pStyle w:val="Heading2"/>
      </w:pPr>
      <w:bookmarkStart w:id="4" w:name="_Toc4"/>
      <w:r>
        <w:t>Dissertationen (6)</w:t>
      </w:r>
      <w:bookmarkEnd w:id="4"/>
    </w:p>
    <w:p>
      <w:pPr>
        <w:pStyle w:val="ListEntry"/>
      </w:pPr>
      <w:r>
        <w:rPr>
          <w:rStyle w:val="BodyText"/>
        </w:rPr>
        <w:t xml:space="preserve">De dysenteria Disputatio medica, 30.03.1623. VD17 7:696559D</w:t>
      </w:r>
    </w:p>
    <w:p>
      <w:pPr>
        <w:pStyle w:val="ListEntry"/>
      </w:pPr>
      <w:r>
        <w:rPr>
          <w:rStyle w:val="BodyText"/>
        </w:rPr>
        <w:t xml:space="preserve">, 1633</w:t>
      </w:r>
    </w:p>
    <w:p>
      <w:pPr>
        <w:pStyle w:val="ListEntry"/>
      </w:pPr>
      <w:r>
        <w:rPr>
          <w:rStyle w:val="BodyText"/>
        </w:rPr>
        <w:t xml:space="preserve">De peripneumonia, 1623</w:t>
      </w:r>
    </w:p>
    <w:p>
      <w:pPr>
        <w:pStyle w:val="ListEntry"/>
      </w:pPr>
      <w:r>
        <w:rPr>
          <w:rStyle w:val="BodyText"/>
        </w:rPr>
        <w:t xml:space="preserve">De phrenitide Disputatio medica, 04.02.1621. VD17 7:683390K</w:t>
      </w:r>
    </w:p>
    <w:p>
      <w:pPr>
        <w:pStyle w:val="ListEntry"/>
      </w:pPr>
      <w:r>
        <w:rPr>
          <w:rStyle w:val="BodyText"/>
        </w:rPr>
        <w:t xml:space="preserve">De phthisi Disputatio medica, 27.11.1624. VD17 7:696565E</w:t>
      </w:r>
    </w:p>
    <w:p>
      <w:pPr>
        <w:pStyle w:val="ListEntry"/>
      </w:pPr>
      <w:r>
        <w:rPr>
          <w:rStyle w:val="BodyText"/>
        </w:rPr>
        <w:t xml:space="preserve">De venaesectione, 1623</w:t>
      </w:r>
    </w:p>
    <w:p>
      <w:pPr>
        <w:pStyle w:val="Heading2"/>
      </w:pPr>
      <w:bookmarkStart w:id="5" w:name="_Toc5"/>
      <w:r>
        <w:t>Beteiligung an Dissertationen (6)</w:t>
      </w:r>
      <w:bookmarkEnd w:id="5"/>
    </w:p>
    <w:p>
      <w:pPr>
        <w:pStyle w:val="ListEntry"/>
      </w:pPr>
      <w:r>
        <w:rPr>
          <w:rStyle w:val="BodyText"/>
        </w:rPr>
        <w:t xml:space="preserve">Widmungsempfänger in: Johannes Wolf (Präses): De Morbo Hypochondriaco Positiones, 09.11.1621. VD17 7:696873N</w:t>
      </w:r>
    </w:p>
    <w:p>
      <w:pPr>
        <w:pStyle w:val="ListEntry"/>
      </w:pPr>
      <w:r>
        <w:rPr>
          <w:rStyle w:val="BodyText"/>
        </w:rPr>
        <w:t xml:space="preserve">Respondent in: Calixt Georg (Präses): De Methodis Disputationum Logicarum Decima, 27.10.1610. VD17 3:017222E</w:t>
      </w:r>
    </w:p>
    <w:p>
      <w:pPr>
        <w:pStyle w:val="ListEntry"/>
      </w:pPr>
      <w:r>
        <w:rPr>
          <w:rStyle w:val="BodyText"/>
        </w:rPr>
        <w:t xml:space="preserve">Respondent in: Johannes Wolf (Präses): De medicina et medico in genere  Disputationem hanc, 06.06.1613. VD17 23:313101T</w:t>
      </w:r>
    </w:p>
    <w:p>
      <w:pPr>
        <w:pStyle w:val="ListEntry"/>
      </w:pPr>
      <w:r>
        <w:rPr>
          <w:rStyle w:val="BodyText"/>
        </w:rPr>
        <w:t xml:space="preserve">Widmungsempfänger in: Henning Arnisäus (Präses): De Colico Dolore, 20.04.1620. VD17 23:635528C</w:t>
      </w:r>
    </w:p>
    <w:p>
      <w:pPr>
        <w:pStyle w:val="ListEntry"/>
      </w:pPr>
      <w:r>
        <w:rPr>
          <w:rStyle w:val="BodyText"/>
        </w:rPr>
        <w:t xml:space="preserve">Respondent in: Johannes Kune (Präses): De Natura Et Caussis Disputationum Physicarum Secunda, 1608. VD17 23:257091Z</w:t>
      </w:r>
    </w:p>
    <w:p>
      <w:pPr>
        <w:pStyle w:val="ListEntry"/>
      </w:pPr>
      <w:r>
        <w:rPr>
          <w:rStyle w:val="BodyText"/>
        </w:rPr>
        <w:t xml:space="preserve">Gratulant in: Johannes Kune (Präses): De Coelo Disputationum Physicarum Quinta, 1608. VD17 23:256978K</w:t>
      </w:r>
    </w:p>
    <w:p>
      <w:pPr>
        <w:pStyle w:val="Heading2"/>
      </w:pPr>
      <w:bookmarkStart w:id="6" w:name="_Toc6"/>
      <w:r>
        <w:t>Beteiligung an Reden und Programmen (1)</w:t>
      </w:r>
      <w:bookmarkEnd w:id="6"/>
    </w:p>
    <w:p>
      <w:pPr>
        <w:pStyle w:val="ListEntry"/>
      </w:pPr>
      <w:r>
        <w:rPr>
          <w:rStyle w:val="BodyText"/>
        </w:rPr>
        <w:t xml:space="preserve">contributor in: Heinrich Rixner: Programma ad Exequias Venusti Puelli Johannis Henrici Viri Clarißimi &amp; Experientißimi Dn. Henrici Meibomii Med. D. Anat. &amp; Chirurg. Professoris Publ. Ordin. &amp; Archiatri Guelphici Filii, V. Eid. Dec. MDCLXIX. placide in Domino defuncti P.P., 09.12.1669. VD17 39:101737Z</w:t>
      </w:r>
    </w:p>
    <w:p>
      <w:pPr>
        <w:pStyle w:val="Heading2"/>
      </w:pPr>
      <w:bookmarkStart w:id="7" w:name="_Toc7"/>
      <w:r>
        <w:t>Zitierhinweis</w:t>
      </w:r>
      <w:bookmarkEnd w:id="7"/>
    </w:p>
    <w:p>
      <w:pPr/>
      <w:r>
        <w:rPr>
          <w:rStyle w:val="BodyText"/>
        </w:rPr>
        <w:t xml:space="preserve">Prof. Johann Heinrich Meibom. In: Wissensproduktion an der Universität Helmstedt. Forschungsportal zur frühneuzeitlichen Universitätsgeschichte. Hrsg. von der Herzog August Bibliothek Wolfenbüttel. 2010–2013. Relaunch 2026. Permalink: https://uni-helmstedt.hab.de/prof-148-meibom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Heinrich Meibom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2026-07-08T04:37:09+00:00</dcterms:created>
  <dcterms:modified xsi:type="dcterms:W3CDTF">2026-07-08T04:37:09+00:00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