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Peter Musäus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1620 in Langewiesen (Thüringen)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1674/75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u. Theol. Prof in Rinteln (1648–1663); Theol. Prof. d. Kirchengeschichte in Helmstedt (1663–1665); Theol. Prof. in Kiel (1665–1674/75);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Petrus Musaeus  (13.08.1646)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Margarete Musäus geborene Sannemann (18.12.1637–25.12.1662), Heirat 1653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272, 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https://d-nb.info/gnd/117187968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https://uni-helmstedt.hab.de/prof-155-mus%C3%A4us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1648–1663 Lehrstuhl für [o. A.], Rinteln</w:t>
      </w:r>
    </w:p>
    <w:p>
      <w:pPr>
        <w:pStyle w:val="ListEntry"/>
      </w:pPr>
      <w:r>
        <w:rPr>
          <w:rStyle w:val="BodyText"/>
        </w:rPr>
        <w:t xml:space="preserve">1648–1663 Lehrstuhl für [o. A.], Rinteln</w:t>
      </w:r>
    </w:p>
    <w:p>
      <w:pPr>
        <w:pStyle w:val="ListEntry"/>
      </w:pPr>
      <w:r>
        <w:rPr>
          <w:rStyle w:val="BodyText"/>
        </w:rPr>
        <w:t xml:space="preserve">1663–1665 Lehrstuhl für Kirchengeschichte, Helmstedt</w:t>
      </w:r>
    </w:p>
    <w:p>
      <w:pPr>
        <w:pStyle w:val="ListEntry"/>
      </w:pPr>
      <w:r>
        <w:rPr>
          <w:rStyle w:val="BodyText"/>
        </w:rPr>
        <w:t xml:space="preserve">1665–1674 Lehrstuhl für [o. A.], Kiel</w:t>
      </w:r>
    </w:p>
    <w:p>
      <w:pPr>
        <w:pStyle w:val="Heading2"/>
      </w:pPr>
      <w:bookmarkStart w:id="2" w:name="_Toc2"/>
      <w:r>
        <w:t>Vorlesungen (9)</w:t>
      </w:r>
      <w:bookmarkEnd w:id="2"/>
    </w:p>
    <w:p>
      <w:pPr>
        <w:pStyle w:val="ListEntry"/>
      </w:pPr>
      <w:r>
        <w:rPr>
          <w:rStyle w:val="BodyText"/>
        </w:rPr>
        <w:t xml:space="preserve">Petrvs Mvsaevs D. qui propediem hic aderit, quid hoc semestri sit, ipsemet, ubi advenerit, significabit., Wintersemester 1663/1664</w:t>
      </w:r>
    </w:p>
    <w:p>
      <w:pPr>
        <w:pStyle w:val="ListEntry"/>
      </w:pPr>
      <w:r>
        <w:rPr>
          <w:rStyle w:val="BodyText"/>
        </w:rPr>
        <w:t xml:space="preserve">Petrvs Mvsaevs D. ex historia Ecclesiastica veteres haereses enarrare perget. Initium fecit ab iis haeresibus, quae circa locum de persona Christi excitatae fuere: &amp; primum quidem theologiae oppositas, veluti Arianam &amp; Photinianam, collata cum illis Arminianorum quorundam in Belgio sententia, ut &amp; Sabellianam recensuit. Novissime ad oeconimiam progressus breviter haereticos commemoravit, qui humana Christi natura vel aliquam ejus partem negarunt. [...], Sommersemester 1664</w:t>
      </w:r>
    </w:p>
    <w:p>
      <w:pPr>
        <w:pStyle w:val="ListEntry"/>
      </w:pPr>
      <w:r>
        <w:rPr>
          <w:rStyle w:val="BodyText"/>
        </w:rPr>
        <w:t xml:space="preserve">[...] In posterum de pracipuis ad evertendam unionem personalem excogiatatis haeresibus, Nestoriana &amp; Eutychiana, &amp; his absolutis, de Novatiana &amp; Pelagiana aliisque aget, hocque historiae Ecclesiasticae capite ad finem perducta, pari industria schismata pertractabit. [...], Sommersemester 1664</w:t>
      </w:r>
    </w:p>
    <w:p>
      <w:pPr>
        <w:pStyle w:val="ListEntry"/>
      </w:pPr>
      <w:r>
        <w:rPr>
          <w:rStyle w:val="BodyText"/>
        </w:rPr>
        <w:t xml:space="preserve">[...] Adhaec disputationes publicas de persona Christi, quarum secunda jam sub praelo est, [...], Sommersemester 1664</w:t>
      </w:r>
    </w:p>
    <w:p>
      <w:pPr>
        <w:pStyle w:val="ListEntry"/>
      </w:pPr>
      <w:r>
        <w:rPr>
          <w:rStyle w:val="BodyText"/>
        </w:rPr>
        <w:t xml:space="preserve">[...] pariter ac disputatorium collegium privatum continuabit, nec alia privatos intra parietes exercitia petentibus deerit., Sommersemester 1664</w:t>
      </w:r>
    </w:p>
    <w:p>
      <w:pPr>
        <w:pStyle w:val="ListEntry"/>
      </w:pPr>
      <w:r>
        <w:rPr>
          <w:rStyle w:val="BodyText"/>
        </w:rPr>
        <w:t xml:space="preserve">Petrus Musaeus D. absoluta pracipuatum haereseon nec orum schismatum historia, haud ita pridem in enarranda hierarchia Veteris Ecclesiae operam suam occupavit, continuaturus par est fide, [...], Wintersemester 1664/1665</w:t>
      </w:r>
    </w:p>
    <w:p>
      <w:pPr>
        <w:pStyle w:val="ListEntry"/>
      </w:pPr>
      <w:r>
        <w:rPr>
          <w:rStyle w:val="BodyText"/>
        </w:rPr>
        <w:t xml:space="preserve">[...] neque disputando aut privatim docendo petenti pubi Academicae defuturus., Wintersemester 1664/1665</w:t>
      </w:r>
    </w:p>
    <w:p>
      <w:pPr>
        <w:pStyle w:val="ListEntry"/>
      </w:pPr>
      <w:r>
        <w:rPr>
          <w:rStyle w:val="BodyText"/>
        </w:rPr>
        <w:t xml:space="preserve">Petrvs Mvsaevs D. Hierarchiam veteris Ecclesiae, in qua hactenus publicis lectionibus versatus est, propediem absolvet, &amp; dehinc veterum indulgentias suis auditoribus ennarrabit. [...], Sommersemester 1665</w:t>
      </w:r>
    </w:p>
    <w:p>
      <w:pPr>
        <w:pStyle w:val="ListEntry"/>
      </w:pPr>
      <w:r>
        <w:rPr>
          <w:rStyle w:val="BodyText"/>
        </w:rPr>
        <w:t xml:space="preserve">[...] Continuabit etiam privatim explicationem locorum Theologicorum, eaque ad finem perducta, petentibus pro lubitu aliis privatis exercitiis deserviet., Sommersemester 1665</w:t>
      </w:r>
    </w:p>
    <w:p>
      <w:pPr>
        <w:pStyle w:val="Heading2"/>
      </w:pPr>
      <w:bookmarkStart w:id="3" w:name="_Toc3"/>
      <w:r>
        <w:t>Dissertationen (9)</w:t>
      </w:r>
      <w:bookmarkEnd w:id="3"/>
    </w:p>
    <w:p>
      <w:pPr>
        <w:pStyle w:val="ListEntry"/>
      </w:pPr>
      <w:r>
        <w:rPr>
          <w:rStyle w:val="BodyText"/>
        </w:rPr>
        <w:t xml:space="preserve">De Lege Civili Disputatio Tertia, 17.04.1648. VD17 14:028779A</w:t>
      </w:r>
    </w:p>
    <w:p>
      <w:pPr>
        <w:pStyle w:val="ListEntry"/>
      </w:pPr>
      <w:r>
        <w:rPr>
          <w:rStyle w:val="BodyText"/>
        </w:rPr>
        <w:t xml:space="preserve">De Lege Civili Disputatio Secunda, 28.02.1648. VD17 14:028775V</w:t>
      </w:r>
    </w:p>
    <w:p>
      <w:pPr>
        <w:pStyle w:val="ListEntry"/>
      </w:pPr>
      <w:r>
        <w:rPr>
          <w:rStyle w:val="BodyText"/>
        </w:rPr>
        <w:t xml:space="preserve">De Lege Civili Disputatio Prima, 06.11.1647. VD17 14:028772X</w:t>
      </w:r>
    </w:p>
    <w:p>
      <w:pPr>
        <w:pStyle w:val="ListEntry"/>
      </w:pPr>
      <w:r>
        <w:rPr>
          <w:rStyle w:val="BodyText"/>
        </w:rPr>
        <w:t xml:space="preserve">De lege civili, 06.11.1647. VD17 3:021937Q</w:t>
      </w:r>
    </w:p>
    <w:p>
      <w:pPr>
        <w:pStyle w:val="ListEntry"/>
      </w:pPr>
      <w:r>
        <w:rPr>
          <w:rStyle w:val="BodyText"/>
        </w:rPr>
        <w:t xml:space="preserve">De lege civili, 30.01.1648. VD17 14:028775V</w:t>
      </w:r>
    </w:p>
    <w:p>
      <w:pPr>
        <w:pStyle w:val="ListEntry"/>
      </w:pPr>
      <w:r>
        <w:rPr>
          <w:rStyle w:val="BodyText"/>
        </w:rPr>
        <w:t xml:space="preserve">De lege civili, 18.03.1648. VD17 14:028779A</w:t>
      </w:r>
    </w:p>
    <w:p>
      <w:pPr>
        <w:pStyle w:val="ListEntry"/>
      </w:pPr>
      <w:r>
        <w:rPr>
          <w:rStyle w:val="BodyText"/>
        </w:rPr>
        <w:t xml:space="preserve">Disputationes Paideia sive introductio in futuras disputationes de persona christi, 03.02.1664. VD17 75:645158D</w:t>
      </w:r>
    </w:p>
    <w:p>
      <w:pPr>
        <w:pStyle w:val="ListEntry"/>
      </w:pPr>
      <w:r>
        <w:rPr>
          <w:rStyle w:val="BodyText"/>
        </w:rPr>
        <w:t xml:space="preserve">Disputatio Theologica De Propria Filii Dei Subsistentia, 1664. VD17 7:705996X</w:t>
      </w:r>
    </w:p>
    <w:p>
      <w:pPr>
        <w:pStyle w:val="ListEntry"/>
      </w:pPr>
      <w:r>
        <w:rPr>
          <w:rStyle w:val="BodyText"/>
        </w:rPr>
        <w:t xml:space="preserve">Dissertatio Theologica De Baptismo , 31.08.1664. VD17 14:028769U</w:t>
      </w:r>
    </w:p>
    <w:p>
      <w:pPr>
        <w:pStyle w:val="Heading2"/>
      </w:pPr>
      <w:bookmarkStart w:id="4" w:name="_Toc4"/>
      <w:r>
        <w:t>Beteiligung an Dissertationen (4)</w:t>
      </w:r>
      <w:bookmarkEnd w:id="4"/>
    </w:p>
    <w:p>
      <w:pPr>
        <w:pStyle w:val="ListEntry"/>
      </w:pPr>
      <w:r>
        <w:rPr>
          <w:rStyle w:val="BodyText"/>
        </w:rPr>
        <w:t xml:space="preserve">Respondent in: Johann Olearius (Präses): De incarnatione Verbi, quae est elenktike aduersus Anabaptistas. Qua Mennonis et D.P. carnem Christi non ex Maria virgine, sed ex substantia tou logou ortam, asseuerantium, praestigiae refutantur.  Disputatio II., 29.06.1581. VD16 O 633</w:t>
      </w:r>
    </w:p>
    <w:p>
      <w:pPr>
        <w:pStyle w:val="ListEntry"/>
      </w:pPr>
      <w:r>
        <w:rPr>
          <w:rStyle w:val="BodyText"/>
        </w:rPr>
        <w:t xml:space="preserve">Respondent in: Daniel Hofmann (Präses): De peccato originis, quod non sit substantia, seu res per se subsistens Disputatio prima, 01.10.1580. VD16 H 4150</w:t>
      </w:r>
    </w:p>
    <w:p>
      <w:pPr>
        <w:pStyle w:val="ListEntry"/>
      </w:pPr>
      <w:r>
        <w:rPr>
          <w:rStyle w:val="BodyText"/>
        </w:rPr>
        <w:t xml:space="preserve">Respondent in: Daniel Hofmann (Präses): De peccato originis. Colligens ex doctrina de imagine Dei, et conueniente oppositione, quod peccatum originis non sit substantia seu res per se subsistens, simulque; patrum &amp; ecclesiarum Augustanae confessioni addictarum fidem allegans. Disputatio IIII., 28.11.1581. VD16 H 4153</w:t>
      </w:r>
    </w:p>
    <w:p>
      <w:pPr>
        <w:pStyle w:val="ListEntry"/>
      </w:pPr>
      <w:r>
        <w:rPr>
          <w:rStyle w:val="BodyText"/>
        </w:rPr>
        <w:t xml:space="preserve">Respondent in: Daniel Hofmann (Präses): De peccato originis, quod non sit substantia, seu res per se subsistens Disputatio III., 28.09.1581. VD16 H 4152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Peter Musäus. In: Wissensproduktion an der Universität Helmstedt. Forschungsportal zur frühneuzeitlichen Universitätsgeschichte. Hrsg. von der Herzog August Bibliothek Wolfenbüttel. 2010–2013. Relaunch 2026. Permalink: https://uni-helmstedt.hab.de/prof-155-mus%C3%A4us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Peter Musäus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2026-07-09T04:25:02+00:00</dcterms:created>
  <dcterms:modified xsi:type="dcterms:W3CDTF">2026-07-09T04:25:02+00:00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