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Joachim Weccius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1601 in Hildesheim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1651 in Hameln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(1628–1632); Jur. o. Prof. in Helmstedt (1632–1638); Rat von Hzg. Georg von Hannover (1638–50);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Joachimus Weccius Hannoveranus (21.06.1616)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Elisabeth Weccius geborene Stucke (10.05.1601–01.11.1694), Heirat 1631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https://d-nb.info/gnd/128437162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https://uni-helmstedt.hab.de/prof-233-weccius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1628–1632 Lehrstuhl für [o. A.], Helmstedt</w:t>
      </w:r>
    </w:p>
    <w:p>
      <w:pPr>
        <w:pStyle w:val="ListEntry"/>
      </w:pPr>
      <w:r>
        <w:rPr>
          <w:rStyle w:val="BodyText"/>
        </w:rPr>
        <w:t xml:space="preserve">1632–1638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1638–1650: Hannover, Rat v. Hzg. Gerog v. Hannover</w:t>
      </w:r>
    </w:p>
    <w:p>
      <w:pPr>
        <w:pStyle w:val="Heading2"/>
      </w:pPr>
      <w:bookmarkStart w:id="3" w:name="_Toc3"/>
      <w:r>
        <w:t>Vorlesungen (2)</w:t>
      </w:r>
      <w:bookmarkEnd w:id="3"/>
    </w:p>
    <w:p>
      <w:pPr>
        <w:pStyle w:val="ListEntry"/>
      </w:pPr>
      <w:r>
        <w:rPr>
          <w:rStyle w:val="BodyText"/>
        </w:rPr>
        <w:t xml:space="preserve">[...] Operam dabit, ut intra hoc trimestre spacium toti isti Iuris Compendio finem, si Deus voluerit, imponere possit. Docet hora X., Sommersemester 1639</w:t>
      </w:r>
    </w:p>
    <w:p>
      <w:pPr>
        <w:pStyle w:val="ListEntry"/>
      </w:pPr>
      <w:r>
        <w:rPr>
          <w:rStyle w:val="BodyText"/>
        </w:rPr>
        <w:t xml:space="preserve">D. Ioachimvs VVeccivs Institutionum Professor, Contractus, qui Consensu perficiuntur, pridem explicare aggressus est. [...] Docet hora X., Sommersemester 1639</w:t>
      </w:r>
    </w:p>
    <w:p>
      <w:pPr>
        <w:pStyle w:val="Heading2"/>
      </w:pPr>
      <w:bookmarkStart w:id="4" w:name="_Toc4"/>
      <w:r>
        <w:t>Dissertationen (16)</w:t>
      </w:r>
      <w:bookmarkEnd w:id="4"/>
    </w:p>
    <w:p>
      <w:pPr>
        <w:pStyle w:val="ListEntry"/>
      </w:pPr>
      <w:r>
        <w:rPr>
          <w:rStyle w:val="BodyText"/>
        </w:rPr>
        <w:t xml:space="preserve">De eo quod interest, 10.01.1635. VD17 7:643906R</w:t>
      </w:r>
    </w:p>
    <w:p>
      <w:pPr>
        <w:pStyle w:val="ListEntry"/>
      </w:pPr>
      <w:r>
        <w:rPr>
          <w:rStyle w:val="BodyText"/>
        </w:rPr>
        <w:t xml:space="preserve">De pactis qua privatis qua publicis una cum digressione ad statum rei publicae Romano-Germanicae, 22.05.1638. VD17 1:014573Y</w:t>
      </w:r>
    </w:p>
    <w:p>
      <w:pPr>
        <w:pStyle w:val="ListEntry"/>
      </w:pPr>
      <w:r>
        <w:rPr>
          <w:rStyle w:val="BodyText"/>
        </w:rPr>
        <w:t xml:space="preserve">De consuetudine sive jure non scripto, 05.06.1638. VD17 23:314686Q</w:t>
      </w:r>
    </w:p>
    <w:p>
      <w:pPr>
        <w:pStyle w:val="ListEntry"/>
      </w:pPr>
      <w:r>
        <w:rPr>
          <w:rStyle w:val="BodyText"/>
        </w:rPr>
        <w:t xml:space="preserve">De jurisdictione, mixto et mero imperio, 05.06.1638. VD17 12:140515U</w:t>
      </w:r>
    </w:p>
    <w:p>
      <w:pPr>
        <w:pStyle w:val="ListEntry"/>
      </w:pPr>
      <w:r>
        <w:rPr>
          <w:rStyle w:val="BodyText"/>
        </w:rPr>
        <w:t xml:space="preserve">De testamentis ordinandis deque heredum institutione et liberorum exheredatione, 07.07.1638. VD17 23:267013R</w:t>
      </w:r>
    </w:p>
    <w:p>
      <w:pPr>
        <w:pStyle w:val="ListEntry"/>
      </w:pPr>
      <w:r>
        <w:rPr>
          <w:rStyle w:val="BodyText"/>
        </w:rPr>
        <w:t xml:space="preserve">De juribus in re constitutis, 04.08.1638. VD17 23:313734T</w:t>
      </w:r>
    </w:p>
    <w:p>
      <w:pPr>
        <w:pStyle w:val="ListEntry"/>
      </w:pPr>
      <w:r>
        <w:rPr>
          <w:rStyle w:val="BodyText"/>
        </w:rPr>
        <w:t xml:space="preserve">De privatis delictis, 08.08.1638. VD17 12:186937H</w:t>
      </w:r>
    </w:p>
    <w:p>
      <w:pPr>
        <w:pStyle w:val="ListEntry"/>
      </w:pPr>
      <w:r>
        <w:rPr>
          <w:rStyle w:val="BodyText"/>
        </w:rPr>
        <w:t xml:space="preserve">De contractu locationis conductionis, 31.10.1638. VD17 23:651422R</w:t>
      </w:r>
    </w:p>
    <w:p>
      <w:pPr>
        <w:pStyle w:val="ListEntry"/>
      </w:pPr>
      <w:r>
        <w:rPr>
          <w:rStyle w:val="BodyText"/>
        </w:rPr>
        <w:t xml:space="preserve">De contractu depositi, 01.12.1638. VD17 23:251963T</w:t>
      </w:r>
    </w:p>
    <w:p>
      <w:pPr>
        <w:pStyle w:val="ListEntry"/>
      </w:pPr>
      <w:r>
        <w:rPr>
          <w:rStyle w:val="BodyText"/>
        </w:rPr>
        <w:t xml:space="preserve">De transactionibus, 06.12.1638. VD17 23:313362A</w:t>
      </w:r>
    </w:p>
    <w:p>
      <w:pPr>
        <w:pStyle w:val="ListEntry"/>
      </w:pPr>
      <w:r>
        <w:rPr>
          <w:rStyle w:val="BodyText"/>
        </w:rPr>
        <w:t xml:space="preserve">De privilegiis doctorum juris, 18.12.1638. VD17 23:313001N</w:t>
      </w:r>
    </w:p>
    <w:p>
      <w:pPr>
        <w:pStyle w:val="ListEntry"/>
      </w:pPr>
      <w:r>
        <w:rPr>
          <w:rStyle w:val="BodyText"/>
        </w:rPr>
        <w:t xml:space="preserve">De pactis, 28.03.1639. VD17 23:251969P</w:t>
      </w:r>
    </w:p>
    <w:p>
      <w:pPr>
        <w:pStyle w:val="ListEntry"/>
      </w:pPr>
      <w:r>
        <w:rPr>
          <w:rStyle w:val="BodyText"/>
        </w:rPr>
        <w:t xml:space="preserve">De mutuo, 30.03.1639. VD17 23:251974G</w:t>
      </w:r>
    </w:p>
    <w:p>
      <w:pPr>
        <w:pStyle w:val="ListEntry"/>
      </w:pPr>
      <w:r>
        <w:rPr>
          <w:rStyle w:val="BodyText"/>
        </w:rPr>
        <w:t xml:space="preserve">De Differentiis Iuris Civilis Et Canonici Dissertatio
, 1661. VD17 1:012360Z</w:t>
      </w:r>
    </w:p>
    <w:p>
      <w:pPr>
        <w:pStyle w:val="ListEntry"/>
      </w:pPr>
      <w:r>
        <w:rPr>
          <w:rStyle w:val="BodyText"/>
        </w:rPr>
        <w:t xml:space="preserve">De usufructu, 31.01.1629. VD17 14:025440H</w:t>
      </w:r>
    </w:p>
    <w:p>
      <w:pPr>
        <w:pStyle w:val="ListEntry"/>
      </w:pPr>
      <w:r>
        <w:rPr>
          <w:rStyle w:val="BodyText"/>
        </w:rPr>
        <w:t xml:space="preserve">De testamentis ordinandis et his qui testamenta facere possunt (ad Inst. 2. 10-12), 28.03.1632</w:t>
      </w:r>
    </w:p>
    <w:p>
      <w:pPr>
        <w:pStyle w:val="Heading2"/>
      </w:pPr>
      <w:bookmarkStart w:id="5" w:name="_Toc5"/>
      <w:r>
        <w:t>Beteiligung an Dissertationen (2)</w:t>
      </w:r>
      <w:bookmarkEnd w:id="5"/>
    </w:p>
    <w:p>
      <w:pPr>
        <w:pStyle w:val="ListEntry"/>
      </w:pPr>
      <w:r>
        <w:rPr>
          <w:rStyle w:val="BodyText"/>
        </w:rPr>
        <w:t xml:space="preserve">Respondent in: Johann Thomas Cludius (Präses): De genere judicii ac quibusdam personis, actore et reo, hisque subservientibus personis, advocato, procuratoribus et syndicis, 21.05.1623. VD17 3:664069Q</w:t>
      </w:r>
    </w:p>
    <w:p>
      <w:pPr>
        <w:pStyle w:val="ListEntry"/>
      </w:pPr>
      <w:r>
        <w:rPr>
          <w:rStyle w:val="BodyText"/>
        </w:rPr>
        <w:t xml:space="preserve">Respondent in: Johann Stucke (Präses): De natura et essentia possessionis in genere et in specie deque modis eam acquirendi, retinendi et amittendi, 30.10.1628. VD17 23:236088L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Joachim Weccius. In: Wissensproduktion an der Universität Helmstedt. Forschungsportal zur frühneuzeitlichen Universitätsgeschichte. Hrsg. von der Herzog August Bibliothek Wolfenbüttel. 2010–2013. Relaunch 2026. Permalink: https://uni-helmstedt.hab.de/prof-233-weccius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Joachim Weccius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2026-07-08T23:24:24+00:00</dcterms:created>
  <dcterms:modified xsi:type="dcterms:W3CDTF">2026-07-08T23:24:24+00:00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