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Wissel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1584 in Neustadt am Rübenberge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1657 in Hannover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Jur. o. Prof. d. Institutiones in Helmstedt (1617–1629); Hofrat in Wolfenbüttel und Celle (ab 1629);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Joannes Wisselius Gottingensis (26.07.1600)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Elisabeth Wissel geborene Parcovius  (22.04.1592–05.02.1623), Heirat 1613; Margarete Wissel geborene Ulrichs, Heirat 1624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https://d-nb.info/gnd/124950078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https://uni-helmstedt.hab.de/prof-243-wissel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1617–1629 Lehrstuhl für Institutionen,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1629–1636: Wolfenbüttel, Hofrat</w:t>
      </w:r>
    </w:p>
    <w:p>
      <w:pPr>
        <w:pStyle w:val="ListEntry"/>
      </w:pPr>
      <w:r>
        <w:rPr>
          <w:rStyle w:val="BodyText"/>
        </w:rPr>
        <w:t xml:space="preserve">1636: Celle, Hofrat</w:t>
      </w:r>
    </w:p>
    <w:p>
      <w:pPr>
        <w:pStyle w:val="ListEntry"/>
      </w:pPr>
      <w:r>
        <w:rPr>
          <w:rStyle w:val="BodyText"/>
        </w:rPr>
        <w:t xml:space="preserve">1636: Celle, Kanzleirat</w:t>
      </w:r>
    </w:p>
    <w:p>
      <w:pPr>
        <w:pStyle w:val="Heading2"/>
      </w:pPr>
      <w:bookmarkStart w:id="3" w:name="_Toc3"/>
      <w:r>
        <w:t>Vorlesungen (6)</w:t>
      </w:r>
      <w:bookmarkEnd w:id="3"/>
    </w:p>
    <w:p>
      <w:pPr>
        <w:pStyle w:val="ListEntry"/>
      </w:pPr>
      <w:r>
        <w:rPr>
          <w:rStyle w:val="BodyText"/>
        </w:rPr>
        <w:t xml:space="preserve">[...] ac disputationes [...] tum publicas sedulo vrgebit., Sommersemester 1620</w:t>
      </w:r>
    </w:p>
    <w:p>
      <w:pPr>
        <w:pStyle w:val="ListEntry"/>
      </w:pPr>
      <w:r>
        <w:rPr>
          <w:rStyle w:val="BodyText"/>
        </w:rPr>
        <w:t xml:space="preserve">[...] ac disputationes cum priuatas [...] sedulo vrgebit., Sommersemester 1620</w:t>
      </w:r>
    </w:p>
    <w:p>
      <w:pPr>
        <w:pStyle w:val="ListEntry"/>
      </w:pPr>
      <w:r>
        <w:rPr>
          <w:rStyle w:val="BodyText"/>
        </w:rPr>
        <w:t xml:space="preserve">Ioan. VVissel D. materiam successionis tam ex testamento, quam ab intestato, itemq; contractuum in secundo &amp; 3. Institut. libris propositam explicabit [...], Sommersemester 1620</w:t>
      </w:r>
    </w:p>
    <w:p>
      <w:pPr>
        <w:pStyle w:val="ListEntry"/>
      </w:pPr>
      <w:r>
        <w:rPr>
          <w:rStyle w:val="BodyText"/>
        </w:rPr>
        <w:t xml:space="preserve">[...] Disputationes quoq. haud negliget, ac inprimis ipsum textum Institut. examini, pro arbitrio Collegarum publico vel privato, ita, vt de singulorum titulorum, eorumq. paragraphorum &amp; capitum recta &amp; vera interpretatione, commoda cum aliis iuris textibus conciliandi ratione, &amp; iusta consectariorum vel quaestionum inde promanantium decisione agatur, suijciet., Sommersemester 1623</w:t>
      </w:r>
    </w:p>
    <w:p>
      <w:pPr>
        <w:pStyle w:val="ListEntry"/>
      </w:pPr>
      <w:r>
        <w:rPr>
          <w:rStyle w:val="BodyText"/>
        </w:rPr>
        <w:t xml:space="preserve">Ioannes Wissel D. materia Contractuum &amp; quasi contractuum, qui in libro Institutionum iuris Iustinianei tertio restant, proposita, quartum earundem Instit. librum explicare perget, modo hactenus vsitato. [...], Sommersemester 1623</w:t>
      </w:r>
    </w:p>
    <w:p>
      <w:pPr>
        <w:pStyle w:val="ListEntry"/>
      </w:pPr>
      <w:r>
        <w:rPr>
          <w:rStyle w:val="BodyText"/>
        </w:rPr>
        <w:t xml:space="preserve">Ioan. Wissel I.V.D. in explicatione tituli Institutionum de actionibus, deo iuuante, hoc semestri perget, modo, quo hactenus, scilic. primo textum exponet: &amp; dubia, quae circa eum occurunt, resoluet: deinde requisita cuiusq. actionis, quidq. in ijs actori probandum, &amp; quibus, aduersus quos, quas ad res, quando, &amp; quamdiu quaeq. actio competat, ostendet, ac formulam, qua in singulis hodie frequentius vtimur, subijciet., Sommersemester 1625</w:t>
      </w:r>
    </w:p>
    <w:p>
      <w:pPr>
        <w:pStyle w:val="Heading2"/>
      </w:pPr>
      <w:bookmarkStart w:id="4" w:name="_Toc4"/>
      <w:r>
        <w:t>Dissertationen (20)</w:t>
      </w:r>
      <w:bookmarkEnd w:id="4"/>
    </w:p>
    <w:p>
      <w:pPr>
        <w:pStyle w:val="ListEntry"/>
      </w:pPr>
      <w:r>
        <w:rPr>
          <w:rStyle w:val="BodyText"/>
        </w:rPr>
        <w:t xml:space="preserve">De jurejurando in litem, 20.03.1618. VD17 7:698779M</w:t>
      </w:r>
    </w:p>
    <w:p>
      <w:pPr>
        <w:pStyle w:val="ListEntry"/>
      </w:pPr>
      <w:r>
        <w:rPr>
          <w:rStyle w:val="BodyText"/>
        </w:rPr>
        <w:t xml:space="preserve">De disconvenientiis inter judicia feudalia et civilia, 30.06.1618. VD17 7:654230K</w:t>
      </w:r>
    </w:p>
    <w:p>
      <w:pPr>
        <w:pStyle w:val="ListEntry"/>
      </w:pPr>
      <w:r>
        <w:rPr>
          <w:rStyle w:val="BodyText"/>
        </w:rPr>
        <w:t xml:space="preserve">De renunciationibus sive remissionibus jurium competentium, 21.08.1618. VD17 7:702717D</w:t>
      </w:r>
    </w:p>
    <w:p>
      <w:pPr>
        <w:pStyle w:val="ListEntry"/>
      </w:pPr>
      <w:r>
        <w:rPr>
          <w:rStyle w:val="BodyText"/>
        </w:rPr>
        <w:t xml:space="preserve">De jurisdictione, 1619</w:t>
      </w:r>
    </w:p>
    <w:p>
      <w:pPr>
        <w:pStyle w:val="ListEntry"/>
      </w:pPr>
      <w:r>
        <w:rPr>
          <w:rStyle w:val="BodyText"/>
        </w:rPr>
        <w:t xml:space="preserve">De restitutione in integrum, 1619</w:t>
      </w:r>
    </w:p>
    <w:p>
      <w:pPr>
        <w:pStyle w:val="ListEntry"/>
      </w:pPr>
      <w:r>
        <w:rPr>
          <w:rStyle w:val="BodyText"/>
        </w:rPr>
        <w:t xml:space="preserve">De injuriis, 17.02.1619</w:t>
      </w:r>
    </w:p>
    <w:p>
      <w:pPr>
        <w:pStyle w:val="ListEntry"/>
      </w:pPr>
      <w:r>
        <w:rPr>
          <w:rStyle w:val="BodyText"/>
        </w:rPr>
        <w:t xml:space="preserve">De successione ab intestato, 13.03.1619. VD17 3:668388D</w:t>
      </w:r>
    </w:p>
    <w:p>
      <w:pPr>
        <w:pStyle w:val="ListEntry"/>
      </w:pPr>
      <w:r>
        <w:rPr>
          <w:rStyle w:val="BodyText"/>
        </w:rPr>
        <w:t xml:space="preserve">De fidejussoribus, 17.03.1619</w:t>
      </w:r>
    </w:p>
    <w:p>
      <w:pPr>
        <w:pStyle w:val="ListEntry"/>
      </w:pPr>
      <w:r>
        <w:rPr>
          <w:rStyle w:val="BodyText"/>
        </w:rPr>
        <w:t xml:space="preserve">De amissione feudi, 03.07.1619. VD17 23:252527E</w:t>
      </w:r>
    </w:p>
    <w:p>
      <w:pPr>
        <w:pStyle w:val="ListEntry"/>
      </w:pPr>
      <w:r>
        <w:rPr>
          <w:rStyle w:val="BodyText"/>
        </w:rPr>
        <w:t xml:space="preserve">Conclusiones ex jure divino, civ., can. et constitutionibus Imperii usurarum materiam continentes, 17.07.1619. VD17 23:252742R</w:t>
      </w:r>
    </w:p>
    <w:p>
      <w:pPr>
        <w:pStyle w:val="ListEntry"/>
      </w:pPr>
      <w:r>
        <w:rPr>
          <w:rStyle w:val="BodyText"/>
        </w:rPr>
        <w:t xml:space="preserve">De testibus, 02.09.1619. VD17 23:252006G</w:t>
      </w:r>
    </w:p>
    <w:p>
      <w:pPr>
        <w:pStyle w:val="ListEntry"/>
      </w:pPr>
      <w:r>
        <w:rPr>
          <w:rStyle w:val="BodyText"/>
        </w:rPr>
        <w:t xml:space="preserve">De jurisprudentiae natura, principiis ac constitutione (ad Inst. 1. 1-2), 30.09.1619</w:t>
      </w:r>
    </w:p>
    <w:p>
      <w:pPr>
        <w:pStyle w:val="ListEntry"/>
      </w:pPr>
      <w:r>
        <w:rPr>
          <w:rStyle w:val="BodyText"/>
        </w:rPr>
        <w:t xml:space="preserve">De legitima successione, 22.01.1619. VD17 3:668387W</w:t>
      </w:r>
    </w:p>
    <w:p>
      <w:pPr>
        <w:pStyle w:val="ListEntry"/>
      </w:pPr>
      <w:r>
        <w:rPr>
          <w:rStyle w:val="BodyText"/>
        </w:rPr>
        <w:t xml:space="preserve">De rebus creditis, 08.04.1620. VD17 23:252503M</w:t>
      </w:r>
    </w:p>
    <w:p>
      <w:pPr>
        <w:pStyle w:val="ListEntry"/>
      </w:pPr>
      <w:r>
        <w:rPr>
          <w:rStyle w:val="BodyText"/>
        </w:rPr>
        <w:t xml:space="preserve">De usuris et mora, 1621</w:t>
      </w:r>
    </w:p>
    <w:p>
      <w:pPr>
        <w:pStyle w:val="ListEntry"/>
      </w:pPr>
      <w:r>
        <w:rPr>
          <w:rStyle w:val="BodyText"/>
        </w:rPr>
        <w:t xml:space="preserve">De divisione actionis summa (ad Inst. 4.6.1, D.44.7.25 pr.), 19.05.1621. VD17 23:252067D</w:t>
      </w:r>
    </w:p>
    <w:p>
      <w:pPr>
        <w:pStyle w:val="ListEntry"/>
      </w:pPr>
      <w:r>
        <w:rPr>
          <w:rStyle w:val="BodyText"/>
        </w:rPr>
        <w:t xml:space="preserve">De emptione venditione, 10.08.1622. VD17 3:664054V</w:t>
      </w:r>
    </w:p>
    <w:p>
      <w:pPr>
        <w:pStyle w:val="ListEntry"/>
      </w:pPr>
      <w:r>
        <w:rPr>
          <w:rStyle w:val="BodyText"/>
        </w:rPr>
        <w:t xml:space="preserve">De usuris, 31.08.1624</w:t>
      </w:r>
    </w:p>
    <w:p>
      <w:pPr>
        <w:pStyle w:val="ListEntry"/>
      </w:pPr>
      <w:r>
        <w:rPr>
          <w:rStyle w:val="BodyText"/>
        </w:rPr>
        <w:t xml:space="preserve">De reconventionibus earumque foro competenti et processu, 10.09.1624. VD17 14:024172X</w:t>
      </w:r>
    </w:p>
    <w:p>
      <w:pPr>
        <w:pStyle w:val="ListEntry"/>
      </w:pPr>
      <w:r>
        <w:rPr>
          <w:rStyle w:val="BodyText"/>
        </w:rPr>
        <w:t xml:space="preserve">De locatione conductione, 06.09.1625. VD17 12:139421A</w:t>
      </w:r>
    </w:p>
    <w:p>
      <w:pPr>
        <w:pStyle w:val="Heading2"/>
      </w:pPr>
      <w:bookmarkStart w:id="5" w:name="_Toc5"/>
      <w:r>
        <w:t>Beteiligung an Dissertationen (2)</w:t>
      </w:r>
      <w:bookmarkEnd w:id="5"/>
    </w:p>
    <w:p>
      <w:pPr>
        <w:pStyle w:val="ListEntry"/>
      </w:pPr>
      <w:r>
        <w:rPr>
          <w:rStyle w:val="BodyText"/>
        </w:rPr>
        <w:t xml:space="preserve">Respondent in: Johann Barter (Präses): Substitutionum heredis materia, 12.04.1606. VD17 23:253340H</w:t>
      </w:r>
    </w:p>
    <w:p>
      <w:pPr>
        <w:pStyle w:val="ListEntry"/>
      </w:pPr>
      <w:r>
        <w:rPr>
          <w:rStyle w:val="BodyText"/>
        </w:rPr>
        <w:t xml:space="preserve">Respondent in: Andreas Cludius (Präses): Juris Controversi quaestiones, 09.02.1613. VD17 23:253628X</w:t>
      </w:r>
    </w:p>
    <w:p>
      <w:pPr>
        <w:pStyle w:val="Heading2"/>
      </w:pPr>
      <w:bookmarkStart w:id="6" w:name="_Toc6"/>
      <w:r>
        <w:t>Zitierhinweis</w:t>
      </w:r>
      <w:bookmarkEnd w:id="6"/>
    </w:p>
    <w:p>
      <w:pPr/>
      <w:r>
        <w:rPr>
          <w:rStyle w:val="BodyText"/>
        </w:rPr>
        <w:t xml:space="preserve">Prof. Johann Wissel. In: Wissensproduktion an der Universität Helmstedt. Forschungsportal zur frühneuzeitlichen Universitätsgeschichte. Hrsg. von der Herzog August Bibliothek Wolfenbüttel. 2010–2013. Relaunch 2026. Permalink: https://uni-helmstedt.hab.de/prof-243-wissel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Wissel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2026-07-07T23:42:26+00:00</dcterms:created>
  <dcterms:modified xsi:type="dcterms:W3CDTF">2026-07-07T23:42:26+00:00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