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Statius Borcholt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1569-03-01 in Rostock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1617/26 in Osterode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Helmstedt 29.10.1585; danach Studium in Rostock, Heidelberg; 1595–1603 ao. Prof. Jur. Helmstedt; ab 1604 herzogl. Hofrat a. d. Justizkanzlei Celle;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Statius Borcholten  (29.10.1585)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31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https://d-nb.info/gnd/124442080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https://uni-helmstedt.hab.de/prof-250-borcholt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1595–1603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1604: Celle, hrzgl. Hofrat d. Justizkanzleit</w:t>
      </w:r>
    </w:p>
    <w:p>
      <w:pPr>
        <w:pStyle w:val="Heading2"/>
      </w:pPr>
      <w:bookmarkStart w:id="3" w:name="_Toc3"/>
      <w:r>
        <w:t>Beteiligung an Dissertationen (1)</w:t>
      </w:r>
      <w:bookmarkEnd w:id="3"/>
    </w:p>
    <w:p>
      <w:pPr>
        <w:pStyle w:val="ListEntry"/>
      </w:pPr>
      <w:r>
        <w:rPr>
          <w:rStyle w:val="BodyText"/>
        </w:rPr>
        <w:t xml:space="preserve">Respondent in: Friedrich Dasypodius (Präses): Theses ex utroque jure, 15.03.1594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Statius Borcholt. In: Wissensproduktion an der Universität Helmstedt. Forschungsportal zur frühneuzeitlichen Universitätsgeschichte. Hrsg. von der Herzog August Bibliothek Wolfenbüttel. 2010–2013. Relaunch 2026. Permalink: https://uni-helmstedt.hab.de/prof-250-borcholt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Statius Borcholt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2026-08-24T00:00:23+00:00</dcterms:created>
  <dcterms:modified xsi:type="dcterms:W3CDTF">2026-08-24T00:00:23+00:00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