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Prof. Leonhardt Ludwig Gottlieb Süptitz</w:t>
      </w:r>
      <w:bookmarkEnd w:id="0"/>
    </w:p>
    <w:p>
      <w:pPr/>
      <w:r>
        <w:pict>
          <v:shape id="_x0000_s1002" type="#_x0000_t32" style="width:100pt; height:1pt; margin-left:0pt; margin-top:0pt; mso-position-horizontal:left; mso-position-vertical:top; mso-position-horizontal-relative:char; mso-position-vertical-relative:line;">
            <w10:wrap type="inline"/>
            <v:stroke weight="1pt" color="635552"/>
          </v:shape>
        </w:pict>
      </w:r>
    </w:p>
    <w:tbl>
      <w:tblGrid>
        <w:gridCol w:w="1800" w:type="dxa"/>
        <w:gridCol w:w="7100" w:type="dxa"/>
      </w:tblGrid>
      <w:tblPr>
        <w:tblStyle w:val="default"/>
      </w:tblP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Fakultät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Juristische Fakultät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Geboren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1779 in Braunschweig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Gestorben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1807-10-22 in Helmstedt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Kurzvita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24.10.1799 Imm.; Seit 1801 Notar und Advokat in Braunschweig. Seit 1804 a.o. Professor der Rechte und seit 1805 a.o. Beisitzer der Juristenfakultät an der Universität Helmstedt.; 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Studium in Helmstedt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Immatrikulation in Helmstedt: Leonardus Ludovicus Gotthard Süptitz Dessaviensis (24.10.1798)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Quelle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Ahrens 2004, S. 229 f.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GND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https://d-nb.info/gnd/1055342842</w:t>
            </w:r>
          </w:p>
        </w:tc>
      </w:tr>
      <w:tr>
        <w:trPr>
          <w:trHeight w:val="300" w:hRule="atLeast"/>
        </w:trPr>
        <w:tc>
          <w:tcPr>
            <w:tcW w:w="18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Permalink</w:t>
            </w:r>
          </w:p>
        </w:tc>
        <w:tc>
          <w:tcPr>
            <w:tcW w:w="7100" w:type="dxa"/>
            <w:tcBorders>
              <w:top w:val="single" w:sz="6" w:color="ffffff"/>
              <w:left w:val="single" w:sz="6" w:color="ffffff"/>
              <w:right w:val="single" w:sz="6" w:color="ffffff"/>
              <w:bottom w:val="single" w:sz="6" w:color="ffffff"/>
            </w:tcBorders>
            <w:noWrap/>
          </w:tcPr>
          <w:p>
            <w:pPr/>
            <w:r>
              <w:rPr>
                <w:rStyle w:val="BodyText"/>
              </w:rPr>
              <w:t xml:space="preserve">https://uni-helmstedt.hab.de/prof-275-s%C3%BCptitz</w:t>
            </w:r>
          </w:p>
        </w:tc>
      </w:tr>
    </w:tbl>
    <w:p>
      <w:pPr>
        <w:pStyle w:val="Heading2"/>
      </w:pPr>
      <w:bookmarkStart w:id="1" w:name="_Toc1"/>
      <w:r>
        <w:t>Beteiligung an Dissertationen (1)</w:t>
      </w:r>
      <w:bookmarkEnd w:id="1"/>
    </w:p>
    <w:p>
      <w:pPr>
        <w:pStyle w:val="ListEntry"/>
      </w:pPr>
      <w:r>
        <w:rPr>
          <w:rStyle w:val="BodyText"/>
        </w:rPr>
        <w:t xml:space="preserve">Respondent in: Über den Beweis eines dem Fiduciare vom Testirer mündlich auferlegten Fideicommisses, 12.03.1804</w:t>
      </w:r>
    </w:p>
    <w:p>
      <w:pPr>
        <w:pStyle w:val="Heading2"/>
      </w:pPr>
      <w:bookmarkStart w:id="2" w:name="_Toc2"/>
      <w:r>
        <w:t>Zitierhinweis</w:t>
      </w:r>
      <w:bookmarkEnd w:id="2"/>
    </w:p>
    <w:p>
      <w:pPr/>
      <w:r>
        <w:rPr>
          <w:rStyle w:val="BodyText"/>
        </w:rPr>
        <w:t xml:space="preserve">Prof. Leonhardt Ludwig Gottlieb Süptitz. In: Wissensproduktion an der Universität Helmstedt. Forschungsportal zur frühneuzeitlichen Universitätsgeschichte. Hrsg. von der Herzog August Bibliothek Wolfenbüttel. 2010–2013. Relaunch 2026. Permalink: https://uni-helmstedt.hab.de/prof-275-s%C3%BCptitz [24.08.2026]</w:t>
      </w:r>
    </w:p>
    <w:sectPr>
      <w:headerReference w:type="first" r:id="rId7"/>
      <w:headerReference w:type="default" r:id="rId8"/>
      <w:footerReference w:type="default" r:id="rId9"/>
      <w:titlePg/>
      <w:pgSz w:orient="portrait" w:w="11905.511811023622" w:h="16837.79527559055"/>
      <w:pgMar w:top="2600" w:right="1500" w:bottom="1200" w:left="15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/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2500" w:type="dxa"/>
      <w:gridCol w:w="7000" w:type="dxa"/>
      <w:gridCol w:w="2500" w:type="dxa"/>
    </w:tblGrid>
    <w:tblPr>
      <w:tblW w:w="5000" w:type="pct"/>
      <w:tblLayout w:type="autofit"/>
    </w:tblPr>
    <w:tr>
      <w:trPr>
        <w:trHeight w:val="1000" w:hRule="atLeast"/>
      </w:trPr>
      <w:tc>
        <w:tcPr>
          <w:tcW w:w="2500" w:type="dxa"/>
          <w:noWrap/>
        </w:tcPr>
        <w:p/>
      </w:tc>
      <w:tc>
        <w:tcPr>
          <w:tcW w:w="7000" w:type="dxa"/>
          <w:noWrap/>
        </w:tcPr>
        <w:p>
          <w:pPr>
            <w:pStyle w:val="Header"/>
          </w:pPr>
          <w:r>
            <w:rPr>
              <w:rStyle w:val="BodyText"/>
            </w:rPr>
            <w:t xml:space="preserve">CPH: Leonhardt Ludwig Gottlieb Süptitz</w:t>
          </w:r>
        </w:p>
      </w:tc>
      <w:tc>
        <w:tcPr>
          <w:tcW w:w="2500" w:type="dxa"/>
          <w:tcMar>
            <w:start w:w="283" w:type="dxa"/>
          </w:tcMar>
          <w:noWrap/>
        </w:tcPr>
        <w:p>
          <w:pPr/>
          <w:r>
            <w:pict>
              <v:shape type="#_x0000_t75" stroked="f" style="width:100pt; height:83.817427385892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120" w:after="240"/>
    </w:pPr>
    <w:rPr>
      <w:rFonts w:ascii="Roboto Mono" w:hAnsi="Roboto Mono" w:eastAsia="Roboto Mono" w:cs="Roboto Mono"/>
      <w:color w:val="1A1A1A"/>
      <w:sz w:val="52"/>
      <w:szCs w:val="52"/>
      <w:smallCaps w:val="0"/>
      <w:caps w:val="1"/>
    </w:rPr>
  </w:style>
  <w:style w:type="paragraph" w:styleId="Heading2">
    <w:link w:val="Heading2Char"/>
    <w:name w:val="heading 2"/>
    <w:basedOn w:val="Normal"/>
    <w:pPr>
      <w:jc w:val="center"/>
      <w:spacing w:before="200" w:after="150"/>
    </w:pPr>
    <w:rPr>
      <w:rFonts w:ascii="Roboto Mono" w:hAnsi="Roboto Mono" w:eastAsia="Roboto Mono" w:cs="Roboto Mono"/>
      <w:sz w:val="20"/>
      <w:szCs w:val="20"/>
      <w:b w:val="1"/>
      <w:bCs w:val="1"/>
    </w:rPr>
  </w:style>
  <w:style w:type="character">
    <w:name w:val="BodyText"/>
    <w:rPr>
      <w:rFonts w:ascii="Spectral" w:hAnsi="Spectral" w:eastAsia="Spectral" w:cs="Spectral"/>
      <w:sz w:val="19"/>
      <w:szCs w:val="19"/>
    </w:rPr>
  </w:style>
  <w:style w:type="paragraph" w:customStyle="1" w:styleId="ListEntry">
    <w:name w:val="ListEntry"/>
    <w:basedOn w:val="Normal"/>
    <w:pPr>
      <w:spacing w:after="90"/>
    </w:pPr>
  </w:style>
  <w:style w:type="table" w:customStyle="1" w:styleId="default">
    <w:name w:val="default"/>
    <w:uiPriority w:val="99"/>
    <w:tblPr>
      <w:tblW w:w="0" w:type="auto"/>
      <w:tblLayout w:type="autofit"/>
      <w:tblCellMar>
        <w:top w:w="0" w:type="dxa"/>
        <w:left w:w="50" w:type="dxa"/>
        <w:right w:w="5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paragraph" w:customStyle="1" w:styleId="Header">
    <w:name w:val="Header"/>
    <w:basedOn w:val="Normal"/>
    <w:pPr>
      <w:jc w:val="center"/>
      <w:spacing w:before="7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header2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2026-08-24T00:45:18+00:00</dcterms:created>
  <dcterms:modified xsi:type="dcterms:W3CDTF">2026-08-24T00:45:18+00:00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