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Friedrich Dasypodius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1559 in Vahlberg bei Köln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u. o. Prof. in Helmstedt (1591–1599);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Dasypodius geborene Schösgen, Heirat 1591; Hedwig Dasypodius geborene Everdes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60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https://d-nb.info/gnd/11965184X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https://uni-helmstedt.hab.de/prof-51-dasypodius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1591–1599 Lehrstuhl für [o. A.], Helmstedt</w:t>
      </w:r>
    </w:p>
    <w:p>
      <w:pPr>
        <w:pStyle w:val="Heading2"/>
      </w:pPr>
      <w:bookmarkStart w:id="2" w:name="_Toc2"/>
      <w:r>
        <w:t>Vorlesungen (4)</w:t>
      </w:r>
      <w:bookmarkEnd w:id="2"/>
    </w:p>
    <w:p>
      <w:pPr>
        <w:pStyle w:val="ListEntry"/>
      </w:pPr>
      <w:r>
        <w:rPr>
          <w:rStyle w:val="BodyText"/>
        </w:rPr>
        <w:t xml:space="preserve">Friedericvs Dasypodivs D. &amp; Institutionem iuris Professor auspicatus est explicationem tit. de vul. subst. qua absoluta, interpretationem sequentium titulorum aggredietur, &amp; non tantum illa, quae in institutionibus compendiose traduntur, sed etiam ea, quae in ipsis Pandectarum &amp; Codicis fontibus latius dilatantur, &amp; declaratione digna iudicantur, explicabit, &amp; in singulis locis illustrium quaestionum enodationem, prout subiecta materia illas ostert, subijciet: hora 2., Wintersemester 1594/1595</w:t>
      </w:r>
    </w:p>
    <w:p>
      <w:pPr>
        <w:pStyle w:val="ListEntry"/>
      </w:pPr>
      <w:r>
        <w:rPr>
          <w:rStyle w:val="BodyText"/>
        </w:rPr>
        <w:t xml:space="preserve">Fridericvs Dasypodivs D. &amp; Institutionum Professor, versatur in explicatione difficilimae materia Iuris adcrescendi, qua absoluta interpretationem reliquorum, quae ad materiam Testamentariam pertinent, aggredietur, &amp; simul concodantes textus Pandectarum, Codicis &amp; Nouellarum exponet., Wintersemester 1595/1596</w:t>
      </w:r>
    </w:p>
    <w:p>
      <w:pPr>
        <w:pStyle w:val="ListEntry"/>
      </w:pPr>
      <w:r>
        <w:rPr>
          <w:rStyle w:val="BodyText"/>
        </w:rPr>
        <w:t xml:space="preserve">Fridericvs Dasypodivs D. absoluta interpretatione textuum, qui de iure adcrescendi &amp; transmißione Hereditatum ac tum ac legatorum in legibus sparsim inueniuntur, aut explicationem iuris Feudistici, aut elegantis &amp; utilis materiae Pandectarum auspicabitur., Sommersemester 1597</w:t>
      </w:r>
    </w:p>
    <w:p>
      <w:pPr>
        <w:pStyle w:val="ListEntry"/>
      </w:pPr>
      <w:r>
        <w:rPr>
          <w:rStyle w:val="BodyText"/>
        </w:rPr>
        <w:t xml:space="preserve">Fridericvs Dasypodivs D. incipiet Ius Feudisticum, quod in certas disputationes distribuet, &amp; in singulis materijs, singulas quaestiones explicabit., Sommersemester 1599</w:t>
      </w:r>
    </w:p>
    <w:p>
      <w:pPr>
        <w:pStyle w:val="Heading2"/>
      </w:pPr>
      <w:bookmarkStart w:id="3" w:name="_Toc3"/>
      <w:r>
        <w:t>Dissertationen (21)</w:t>
      </w:r>
      <w:bookmarkEnd w:id="3"/>
    </w:p>
    <w:p>
      <w:pPr>
        <w:pStyle w:val="ListEntry"/>
      </w:pPr>
      <w:r>
        <w:rPr>
          <w:rStyle w:val="BodyText"/>
        </w:rPr>
        <w:t xml:space="preserve">De transactionibus Axiomata iuridica, 31.07.1590</w:t>
      </w:r>
    </w:p>
    <w:p>
      <w:pPr>
        <w:pStyle w:val="ListEntry"/>
      </w:pPr>
      <w:r>
        <w:rPr>
          <w:rStyle w:val="BodyText"/>
        </w:rPr>
        <w:t xml:space="preserve">Ex D. 2. 8-13, 1590</w:t>
      </w:r>
    </w:p>
    <w:p>
      <w:pPr>
        <w:pStyle w:val="ListEntry"/>
      </w:pPr>
      <w:r>
        <w:rPr>
          <w:rStyle w:val="BodyText"/>
        </w:rPr>
        <w:t xml:space="preserve">De servitutibus personalibus et realibus, 1591</w:t>
      </w:r>
    </w:p>
    <w:p>
      <w:pPr>
        <w:pStyle w:val="ListEntry"/>
      </w:pPr>
      <w:r>
        <w:rPr>
          <w:rStyle w:val="BodyText"/>
        </w:rPr>
        <w:t xml:space="preserve">De condictionibus ex promutuo, 06.02.1591</w:t>
      </w:r>
    </w:p>
    <w:p>
      <w:pPr>
        <w:pStyle w:val="ListEntry"/>
      </w:pPr>
      <w:r>
        <w:rPr>
          <w:rStyle w:val="BodyText"/>
        </w:rPr>
        <w:t xml:space="preserve">De jure emphyteutico, 02.03.1591</w:t>
      </w:r>
    </w:p>
    <w:p>
      <w:pPr>
        <w:pStyle w:val="ListEntry"/>
      </w:pPr>
      <w:r>
        <w:rPr>
          <w:rStyle w:val="BodyText"/>
        </w:rPr>
        <w:t xml:space="preserve">De injuriis, 30.03.1591</w:t>
      </w:r>
    </w:p>
    <w:p>
      <w:pPr>
        <w:pStyle w:val="ListEntry"/>
      </w:pPr>
      <w:r>
        <w:rPr>
          <w:rStyle w:val="BodyText"/>
        </w:rPr>
        <w:t xml:space="preserve">Transactionibus, 05.10.1592</w:t>
      </w:r>
    </w:p>
    <w:p>
      <w:pPr>
        <w:pStyle w:val="ListEntry"/>
      </w:pPr>
      <w:r>
        <w:rPr>
          <w:rStyle w:val="BodyText"/>
        </w:rPr>
        <w:t xml:space="preserve">De pactis, 1592</w:t>
      </w:r>
    </w:p>
    <w:p>
      <w:pPr>
        <w:pStyle w:val="ListEntry"/>
      </w:pPr>
      <w:r>
        <w:rPr>
          <w:rStyle w:val="BodyText"/>
        </w:rPr>
        <w:t xml:space="preserve">De tutelis et cura, 29.04.1592</w:t>
      </w:r>
    </w:p>
    <w:p>
      <w:pPr>
        <w:pStyle w:val="ListEntry"/>
      </w:pPr>
      <w:r>
        <w:rPr>
          <w:rStyle w:val="BodyText"/>
        </w:rPr>
        <w:t xml:space="preserve">De modis, quibus feuda semel legitime acquisita vicissim amittuntur, et de iis, ad quos eadem revertuntur, 06.05.1592</w:t>
      </w:r>
    </w:p>
    <w:p>
      <w:pPr>
        <w:pStyle w:val="ListEntry"/>
      </w:pPr>
      <w:r>
        <w:rPr>
          <w:rStyle w:val="BodyText"/>
        </w:rPr>
        <w:t xml:space="preserve">De interdictis, 31.05.1593</w:t>
      </w:r>
    </w:p>
    <w:p>
      <w:pPr>
        <w:pStyle w:val="ListEntry"/>
      </w:pPr>
      <w:r>
        <w:rPr>
          <w:rStyle w:val="BodyText"/>
        </w:rPr>
        <w:t xml:space="preserve">De mora, 31.08.1593</w:t>
      </w:r>
    </w:p>
    <w:p>
      <w:pPr>
        <w:pStyle w:val="ListEntry"/>
      </w:pPr>
      <w:r>
        <w:rPr>
          <w:rStyle w:val="BodyText"/>
        </w:rPr>
        <w:t xml:space="preserve">De donationibus, 09.10.1593</w:t>
      </w:r>
    </w:p>
    <w:p>
      <w:pPr>
        <w:pStyle w:val="ListEntry"/>
      </w:pPr>
      <w:r>
        <w:rPr>
          <w:rStyle w:val="BodyText"/>
        </w:rPr>
        <w:t xml:space="preserve">De sponsalibus et nuptiis, 31.01.1594</w:t>
      </w:r>
    </w:p>
    <w:p>
      <w:pPr>
        <w:pStyle w:val="ListEntry"/>
      </w:pPr>
      <w:r>
        <w:rPr>
          <w:rStyle w:val="BodyText"/>
        </w:rPr>
        <w:t xml:space="preserve">Theses ex utroque jure, 15.03.1594</w:t>
      </w:r>
    </w:p>
    <w:p>
      <w:pPr>
        <w:pStyle w:val="ListEntry"/>
      </w:pPr>
      <w:r>
        <w:rPr>
          <w:rStyle w:val="BodyText"/>
        </w:rPr>
        <w:t xml:space="preserve">De successionum ab intestato materia ex jure civ. et feudali, 07.06.1594</w:t>
      </w:r>
    </w:p>
    <w:p>
      <w:pPr>
        <w:pStyle w:val="ListEntry"/>
      </w:pPr>
      <w:r>
        <w:rPr>
          <w:rStyle w:val="BodyText"/>
        </w:rPr>
        <w:t xml:space="preserve">Testamentaria materia, cui subjuncta est legitimae materia, 31.12.1594</w:t>
      </w:r>
    </w:p>
    <w:p>
      <w:pPr>
        <w:pStyle w:val="ListEntry"/>
      </w:pPr>
      <w:r>
        <w:rPr>
          <w:rStyle w:val="BodyText"/>
        </w:rPr>
        <w:t xml:space="preserve">Controversarum conclusionum miscellanea, 19.08.1596</w:t>
      </w:r>
    </w:p>
    <w:p>
      <w:pPr>
        <w:pStyle w:val="ListEntry"/>
      </w:pPr>
      <w:r>
        <w:rPr>
          <w:rStyle w:val="BodyText"/>
        </w:rPr>
        <w:t xml:space="preserve">De contrahenda et committenda stipulatione, 25.11.1596</w:t>
      </w:r>
    </w:p>
    <w:p>
      <w:pPr>
        <w:pStyle w:val="ListEntry"/>
      </w:pPr>
      <w:r>
        <w:rPr>
          <w:rStyle w:val="BodyText"/>
        </w:rPr>
        <w:t xml:space="preserve">De mora, 09.05.1598</w:t>
      </w:r>
    </w:p>
    <w:p>
      <w:pPr>
        <w:pStyle w:val="ListEntry"/>
      </w:pPr>
      <w:r>
        <w:rPr>
          <w:rStyle w:val="BodyText"/>
        </w:rPr>
        <w:t xml:space="preserve">De usucapionibus et temporum praescriptionibus, 28.04.1599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Respondent in: Joh. Arenhorst (Präses): De jurisdictione omnium judicum et de foro competenti, 20.12.1593. VD16 D 230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Friedrich Dasypodius. In: Wissensproduktion an der Universität Helmstedt. Forschungsportal zur frühneuzeitlichen Universitätsgeschichte. Hrsg. von der Herzog August Bibliothek Wolfenbüttel. 2010–2013. Relaunch 2026. Permalink: https://uni-helmstedt.hab.de/prof-51-dasypodius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Friedrich Dasypodius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2026-07-08T00:55:37+00:00</dcterms:created>
  <dcterms:modified xsi:type="dcterms:W3CDTF">2026-07-08T00:55:37+00:00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