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Johannes Debelius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1540 in Tannrode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1610 in Jena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in Jena (1569–1573); Phil. Prof. der griechischen und lateinischen Sprache in Helmstedt (1576–1579); Superintendent in Ohrdruf/ Thüringen (1579–1605); Theol. Prof. in Jena (1605–1610);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Elisabeth Debelius geborene Vogel, Heirat 1570; Anna Debelius geborene Eberlein / Güldenzopp, Heirat 1607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https://d-nb.info/gnd/12350905X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https://uni-helmstedt.hab.de/prof-52-debelius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1569–1573 Lehrstuhl für [o. A.], Jena</w:t>
      </w:r>
    </w:p>
    <w:p>
      <w:pPr>
        <w:pStyle w:val="ListEntry"/>
      </w:pPr>
      <w:r>
        <w:rPr>
          <w:rStyle w:val="BodyText"/>
        </w:rPr>
        <w:t xml:space="preserve">1576–1579 Lehrstuhl für Griechisch / Latein, Helmstedt</w:t>
      </w:r>
    </w:p>
    <w:p>
      <w:pPr>
        <w:pStyle w:val="ListEntry"/>
      </w:pPr>
      <w:r>
        <w:rPr>
          <w:rStyle w:val="BodyText"/>
        </w:rPr>
        <w:t xml:space="preserve">1605–1610 Lehrstuhl für [o. A.], Jena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1579–1605: Ohrdruf / Thüringen, Superintendent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Johannes Debelius. In: Wissensproduktion an der Universität Helmstedt. Forschungsportal zur frühneuzeitlichen Universitätsgeschichte. Hrsg. von der Herzog August Bibliothek Wolfenbüttel. 2010–2013. Relaunch 2026. Permalink: https://uni-helmstedt.hab.de/prof-52-debelius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Johannes Debelius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2026-07-09T01:31:25+00:00</dcterms:created>
  <dcterms:modified xsi:type="dcterms:W3CDTF">2026-07-09T01:31:25+00:00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