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Rudolf Diephold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Philosophische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1572 in Verden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1626 in Helmstedt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Phil. Prof. d. griechischen Sprache in Helmstedt (1605–1626);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Rudolphus à Dipholdt Verdensis (04.11.1591)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Gesa Diephold geborene Jordanius, Heirat 1612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https://d-nb.info/gnd/101072252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https://uni-helmstedt.hab.de/prof-53-diephold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1605–1626 Lehrstuhl für Griechisch, Helmstedt</w:t>
      </w:r>
    </w:p>
    <w:p>
      <w:pPr>
        <w:pStyle w:val="Heading2"/>
      </w:pPr>
      <w:bookmarkStart w:id="2" w:name="_Toc2"/>
      <w:r>
        <w:t>Vorlesungen (4)</w:t>
      </w:r>
      <w:bookmarkEnd w:id="2"/>
    </w:p>
    <w:p>
      <w:pPr>
        <w:pStyle w:val="ListEntry"/>
      </w:pPr>
      <w:r>
        <w:rPr>
          <w:rStyle w:val="BodyText"/>
        </w:rPr>
        <w:t xml:space="preserve">M. Rvdolphvs Diepholdivs, exsecuntur, veterisque Graeciae descriptionem, heroumque quos Homerus ibi citat, genealogias, ex probatis auctoribus subiunget. Quibus absolutis Cebetis explicabit tabulam, hora octand., Wintersemester 1613/1614</w:t>
      </w:r>
    </w:p>
    <w:p>
      <w:pPr>
        <w:pStyle w:val="ListEntry"/>
      </w:pPr>
      <w:r>
        <w:rPr>
          <w:rStyle w:val="BodyText"/>
        </w:rPr>
        <w:t xml:space="preserve">Rvdolphvs Diepholdivs interpretatur modo librum Iliados Homericae Nonum, quo absoluto sequentes duos Auditoribus suis ordine explicabit, hora octaua., Sommersemester 1620</w:t>
      </w:r>
    </w:p>
    <w:p>
      <w:pPr>
        <w:pStyle w:val="ListEntry"/>
      </w:pPr>
      <w:r>
        <w:rPr>
          <w:rStyle w:val="BodyText"/>
        </w:rPr>
        <w:t xml:space="preserve">Rvdolphvs Diepholdvs Theognidis interpretabitur Gnomica, Graecarum vocum, quae in ijs sunt, proprietates ostendet, &amp; plerasq. sententias exemplis illustrabit historicis. Absoluto hoc opusculo Herculis cum virtute &amp; voluptate colloquium ex secundo Xenophontis de dictis ac factis Socratis memorabilibus explicare constituit hora VIII., Sommersemester 1623</w:t>
      </w:r>
    </w:p>
    <w:p>
      <w:pPr>
        <w:pStyle w:val="ListEntry"/>
      </w:pPr>
      <w:r>
        <w:rPr>
          <w:rStyle w:val="BodyText"/>
        </w:rPr>
        <w:t xml:space="preserve">Rvdolphvs Diepholdivs hora octaua explicat librum Iliados Homericae decimum, quo absoluto sequentem vndecimum interpretabitur., Sommersemester 1625</w:t>
      </w:r>
    </w:p>
    <w:p>
      <w:pPr>
        <w:pStyle w:val="Heading2"/>
      </w:pPr>
      <w:bookmarkStart w:id="3" w:name="_Toc3"/>
      <w:r>
        <w:t>Beteiligung an Dissertationen (3)</w:t>
      </w:r>
      <w:bookmarkEnd w:id="3"/>
    </w:p>
    <w:p>
      <w:pPr>
        <w:pStyle w:val="ListEntry"/>
      </w:pPr>
      <w:r>
        <w:rPr>
          <w:rStyle w:val="BodyText"/>
        </w:rPr>
        <w:t xml:space="preserve">Widmungsempfänger in: Franz Parcovius (Präses): De Angina
 Theses medicae, 1610. VD17 3:004965A</w:t>
      </w:r>
    </w:p>
    <w:p>
      <w:pPr>
        <w:pStyle w:val="ListEntry"/>
      </w:pPr>
      <w:r>
        <w:rPr>
          <w:rStyle w:val="BodyText"/>
        </w:rPr>
        <w:t xml:space="preserve">Gratulant in: Kune Johannes (Präses): De Summo Bono, Seu Felicitate Civili Disputatio Ethica, 31.08.1607. VD17 23:255066K</w:t>
      </w:r>
    </w:p>
    <w:p>
      <w:pPr>
        <w:pStyle w:val="ListEntry"/>
      </w:pPr>
      <w:r>
        <w:rPr>
          <w:rStyle w:val="BodyText"/>
        </w:rPr>
        <w:t xml:space="preserve">Widmungsempfänger in: Johannes Wolf (Präses): De asthmate Disputatio, 03.09.1622</w:t>
      </w:r>
    </w:p>
    <w:p>
      <w:pPr>
        <w:pStyle w:val="Heading2"/>
      </w:pPr>
      <w:bookmarkStart w:id="4" w:name="_Toc4"/>
      <w:r>
        <w:t>Reden und Programme (7)</w:t>
      </w:r>
      <w:bookmarkEnd w:id="4"/>
    </w:p>
    <w:p>
      <w:pPr>
        <w:pStyle w:val="ListEntry"/>
      </w:pPr>
      <w:r>
        <w:rPr>
          <w:rStyle w:val="BodyText"/>
        </w:rPr>
        <w:t xml:space="preserve">Rudolf Diephold: Programma Ad Studiosam Iuventutem In Academia Iulia Festo Paschae P.P. VD17 23:237295K</w:t>
      </w:r>
    </w:p>
    <w:p>
      <w:pPr>
        <w:pStyle w:val="ListEntry"/>
      </w:pPr>
      <w:r>
        <w:rPr>
          <w:rStyle w:val="BodyText"/>
        </w:rPr>
        <w:t xml:space="preserve">Rudolf Diephold: Programma P. P. In Acad. Iulia Festo Pentecostes. VD17 3:016556S</w:t>
      </w:r>
    </w:p>
    <w:p>
      <w:pPr>
        <w:pStyle w:val="ListEntry"/>
      </w:pPr>
      <w:r>
        <w:rPr>
          <w:rStyle w:val="BodyText"/>
        </w:rPr>
        <w:t xml:space="preserve">Rudolf Diephold: Programma In funere Virginis Pudicissimae Annae Reverendi Viri Dn. M. Joachimi Wreden, Ecclesiae Helmstadiensis Diaconi Filiae P.P. VD17 23:262519S</w:t>
      </w:r>
    </w:p>
    <w:p>
      <w:pPr>
        <w:pStyle w:val="ListEntry"/>
      </w:pPr>
      <w:r>
        <w:rPr>
          <w:rStyle w:val="BodyText"/>
        </w:rPr>
        <w:t xml:space="preserve">Rudolf Diephold: Programma In funere Iuvenis Doctißimi Joannis Schraderi Osterwicensis Humaniorum, litterarum &amp; Medicinae Studiosi, P.P. VD17 23:262510Y</w:t>
      </w:r>
    </w:p>
    <w:p>
      <w:pPr>
        <w:pStyle w:val="ListEntry"/>
      </w:pPr>
      <w:r>
        <w:rPr>
          <w:rStyle w:val="BodyText"/>
        </w:rPr>
        <w:t xml:space="preserve">Rudolf Diephold: Oratio Qua Reverendißimo &amp; Illustrißimo Principi ac Dn. Dn. Christiano Duci Brunsvicensi Et Lunaeburgensi, Episcopo Halberstadiensium, Kalendis Maii inaugurato, Publice in Academia Iulia gratulatus fuit. VD17 23:252751Q</w:t>
      </w:r>
    </w:p>
    <w:p>
      <w:pPr>
        <w:pStyle w:val="ListEntry"/>
      </w:pPr>
      <w:r>
        <w:rPr>
          <w:rStyle w:val="BodyText"/>
        </w:rPr>
        <w:t xml:space="preserve">Rudolf Diephold: Programma In funere Conradi Breun/ Corbachiensis Waldecci Iuvenis doctissimi P.P. VD17 23:262486K</w:t>
      </w:r>
    </w:p>
    <w:p>
      <w:pPr>
        <w:pStyle w:val="ListEntry"/>
      </w:pPr>
      <w:r>
        <w:rPr>
          <w:rStyle w:val="BodyText"/>
        </w:rPr>
        <w:t xml:space="preserve">Rudolf Diephold: Oratio De Henrico Iulio Gwelphio principe serenissimo, 15.09.1613. VD17 23:259421K</w:t>
      </w:r>
    </w:p>
    <w:p>
      <w:pPr>
        <w:pStyle w:val="Heading2"/>
      </w:pPr>
      <w:bookmarkStart w:id="5" w:name="_Toc5"/>
      <w:r>
        <w:t>Beteiligung an Reden und Programmen (2)</w:t>
      </w:r>
      <w:bookmarkEnd w:id="5"/>
    </w:p>
    <w:p>
      <w:pPr>
        <w:pStyle w:val="ListEntry"/>
      </w:pPr>
      <w:r>
        <w:rPr>
          <w:rStyle w:val="BodyText"/>
        </w:rPr>
        <w:t xml:space="preserve">contributor in: Christoph Heidmann: Oratio De Bibliotheca Iulia: Qua Illustrißimo Principi, Friderico Ulrico, Duci Brunsvicensi ac Lunaeburgensi, de tam illustri ornamento Academiae suae concesso, gratias, senatus Academici decreto egit, &amp; argumentum hoc plenius aliquanto persecutus es. VD17 23:248900H</w:t>
      </w:r>
    </w:p>
    <w:p>
      <w:pPr>
        <w:pStyle w:val="ListEntry"/>
      </w:pPr>
      <w:r>
        <w:rPr>
          <w:rStyle w:val="BodyText"/>
        </w:rPr>
        <w:t xml:space="preserve">contributor in: Prorektor und Senat der Universität Helmstedt: Programma In Funere Clarißimi viri, Rudolphi Diepholdii Verdensis, Graecarum litterarum Professoris publici, Qui anno aerae Christianae MDCXXVI VI Kl. Iun. diem suum pie placideq[ue] obiit, In Academia Iulia P.P., 27.05.1626. VD17 23:259437M</w:t>
      </w:r>
    </w:p>
    <w:p>
      <w:pPr>
        <w:pStyle w:val="Heading2"/>
      </w:pPr>
      <w:bookmarkStart w:id="6" w:name="_Toc6"/>
      <w:r>
        <w:t>Zitierhinweis</w:t>
      </w:r>
      <w:bookmarkEnd w:id="6"/>
    </w:p>
    <w:p>
      <w:pPr/>
      <w:r>
        <w:rPr>
          <w:rStyle w:val="BodyText"/>
        </w:rPr>
        <w:t xml:space="preserve">Prof. Rudolf Diephold. In: Wissensproduktion an der Universität Helmstedt. Forschungsportal zur frühneuzeitlichen Universitätsgeschichte. Hrsg. von der Herzog August Bibliothek Wolfenbüttel. 2010–2013. Relaunch 2026. Permalink: https://uni-helmstedt.hab.de/prof-53-diephold [07.07.2026]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Rudolf Diephold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2026-07-07T21:20:15+00:00</dcterms:created>
  <dcterms:modified xsi:type="dcterms:W3CDTF">2026-07-07T21:20:15+00:00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