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Valentin Forster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1530 in Wittenberg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Prof. in Marburg (1569–1580) und Heidelberg (1580–1583); Jur. Prof. in Helmstedt (1595–1608);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Kunigunde Forster geborene Sprenger; Margarete Forster geborene Matthäus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78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https://d-nb.info/gnd/100279317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https://uni-helmstedt.hab.de/prof-71-forster</w:t>
            </w:r>
          </w:p>
        </w:tc>
      </w:tr>
    </w:tbl>
    <w:p>
      <w:pPr>
        <w:pStyle w:val="Heading2"/>
      </w:pPr>
      <w:bookmarkStart w:id="1" w:name="_Toc1"/>
      <w:r>
        <w:t>Lehrstühle</w:t>
      </w:r>
      <w:bookmarkEnd w:id="1"/>
    </w:p>
    <w:p>
      <w:pPr>
        <w:pStyle w:val="ListEntry"/>
      </w:pPr>
      <w:r>
        <w:rPr>
          <w:rStyle w:val="BodyText"/>
        </w:rPr>
        <w:t xml:space="preserve">1569–1580 Lehrstuhl für [o. A.], Marburg</w:t>
      </w:r>
    </w:p>
    <w:p>
      <w:pPr>
        <w:pStyle w:val="ListEntry"/>
      </w:pPr>
      <w:r>
        <w:rPr>
          <w:rStyle w:val="BodyText"/>
        </w:rPr>
        <w:t xml:space="preserve">1580–1583 Lehrstuhl für [o. A.], Heidelberg</w:t>
      </w:r>
    </w:p>
    <w:p>
      <w:pPr>
        <w:pStyle w:val="ListEntry"/>
      </w:pPr>
      <w:r>
        <w:rPr>
          <w:rStyle w:val="BodyText"/>
        </w:rPr>
        <w:t xml:space="preserve">1595–1608 Lehrstuhl für [o. A.], Helmstedt</w:t>
      </w:r>
    </w:p>
    <w:p>
      <w:pPr>
        <w:pStyle w:val="Heading2"/>
      </w:pPr>
      <w:bookmarkStart w:id="2" w:name="_Toc2"/>
      <w:r>
        <w:t>Vorlesungen (7)</w:t>
      </w:r>
      <w:bookmarkEnd w:id="2"/>
    </w:p>
    <w:p>
      <w:pPr>
        <w:pStyle w:val="ListEntry"/>
      </w:pPr>
      <w:r>
        <w:rPr>
          <w:rStyle w:val="BodyText"/>
        </w:rPr>
        <w:t xml:space="preserve">Valentinvs Forstervs ICtus Senior &amp; ordinarius, hactenus triplici fere docendi genere vsus est: partim enim ταραθζασιχωσ, partim αναλυτικωσ singulas leges in axiomata certa resoluendo. Denique καταμεθοδον per multos annos iura docuit: Nunc vero quia singulae aetates semper noui aliquid pariunt: &amp; uetusta contemni, noua magnifieri solent, maturo grauiq. consilio constituit praecipuas &amp; usu quotidianas materias summatim percurrere. [...], Sommersemester 1597</w:t>
      </w:r>
    </w:p>
    <w:p>
      <w:pPr>
        <w:pStyle w:val="ListEntry"/>
      </w:pPr>
      <w:r>
        <w:rPr>
          <w:rStyle w:val="BodyText"/>
        </w:rPr>
        <w:t xml:space="preserve">[...] Quae autem in ijs motae sunt controuersiae, quarum exactam disquisitionem caeteri omiserunt, ad incudem reuocare, &amp; disputando in contrarias partes, quae magis iuri consentanea sit, ostendere. Initium igitur facturus est a mora: deinde eius quod interest explicatione, in quae grauißimae incidunt controuersiae in dissentientes opiniones distracatae ac scissae. Singulis etiam mensibus recitationem habiturus est, de antiquo iure Romano., Sommersemester 1597</w:t>
      </w:r>
    </w:p>
    <w:p>
      <w:pPr>
        <w:pStyle w:val="ListEntry"/>
      </w:pPr>
      <w:r>
        <w:rPr>
          <w:rStyle w:val="BodyText"/>
        </w:rPr>
        <w:t xml:space="preserve">Valentinvs Forstervs D. Senior &amp; ordinarius, traditurus est Statum Iurisdictionis, qualis fuit, sub postrema aetate Romani Imperij, sub Monarchia nempe a Iulia Caesare usq. ad Iustinianum: cui praesentem Romani Imperij Iurisdictionis stuatm subiecturus est: hactenus ea ratione non propositum., Sommersemester 1599</w:t>
      </w:r>
    </w:p>
    <w:p>
      <w:pPr>
        <w:pStyle w:val="ListEntry"/>
      </w:pPr>
      <w:r>
        <w:rPr>
          <w:rStyle w:val="BodyText"/>
        </w:rPr>
        <w:t xml:space="preserve">D. Valentinvs Forstervs Ordinarius &amp; Senior in inchoata Iurisdictionis tractatione perget h. 8., Wintersemester 1600/1601</w:t>
      </w:r>
    </w:p>
    <w:p>
      <w:pPr>
        <w:pStyle w:val="ListEntry"/>
      </w:pPr>
      <w:r>
        <w:rPr>
          <w:rStyle w:val="BodyText"/>
        </w:rPr>
        <w:t xml:space="preserve">Valentinus Fostervs D. Senior &amp; Ordinarius, absolutis iam legibus Regiis, sub Regio statu exorientis Reipub. Romanae latis, nunc ad eas, quae ab exactius Regibus sub prima mutatione, nempe , emeserunt, accedet, &amp; intro LEGES XII. TABVLA: Deinde praetorum edicta &amp; interdicta, ac alia ad illorum officia, pertinentia iura, Deo volente, breutier ac succincte explicabit, &amp; quae inde a temporibus ICtorum veterum, ad nostram usq. aetatem propagata sint tradet. hora 8, Wintersemester 1602/1603</w:t>
      </w:r>
    </w:p>
    <w:p>
      <w:pPr>
        <w:pStyle w:val="ListEntry"/>
      </w:pPr>
      <w:r>
        <w:rPr>
          <w:rStyle w:val="BodyText"/>
        </w:rPr>
        <w:t xml:space="preserve">Valentinvs Forstervs D. Senior &amp; Ordin. absoluta intra paucas septimanas Constitutione Friderici Imperatoris sub Authentica, Sacramenta puberum. C. si aduersus venditionem. Post promotionem, quae fiet die 16. Augusti, inchoaturus est Legem, Quod Nerua. 32 D. depositi. Cui subiunget L. Incendium. C. si certum pertatur , &amp; L. Quae fortuitis 5. C. de pignoratitia actione. Deo iuuante, hora octaua antemeridiana. Scripsi die S. Laurentij, qua die finitis sex septinanarum ferijs canicularibus lectiones in vetustis academijs iterum incpitiunt hora 8., Wintersemester 1603/1604</w:t>
      </w:r>
    </w:p>
    <w:p>
      <w:pPr>
        <w:pStyle w:val="ListEntry"/>
      </w:pPr>
      <w:r>
        <w:rPr>
          <w:rStyle w:val="BodyText"/>
        </w:rPr>
        <w:t xml:space="preserve">Valentinvs Forstervs D. Senior &amp; Ordinarius, inchoatam materiam adquirendae haereditatis persequetur hora octava., Wintersemester 1604/1605</w:t>
      </w:r>
    </w:p>
    <w:p>
      <w:pPr>
        <w:pStyle w:val="Heading2"/>
      </w:pPr>
      <w:bookmarkStart w:id="3" w:name="_Toc3"/>
      <w:r>
        <w:t>Dissertationen (10)</w:t>
      </w:r>
      <w:bookmarkEnd w:id="3"/>
    </w:p>
    <w:p>
      <w:pPr>
        <w:pStyle w:val="ListEntry"/>
      </w:pPr>
      <w:r>
        <w:rPr>
          <w:rStyle w:val="BodyText"/>
        </w:rPr>
        <w:t xml:space="preserve">Materia successionis feudisticae, 30.09.1596</w:t>
      </w:r>
    </w:p>
    <w:p>
      <w:pPr>
        <w:pStyle w:val="ListEntry"/>
      </w:pPr>
      <w:r>
        <w:rPr>
          <w:rStyle w:val="BodyText"/>
        </w:rPr>
        <w:t xml:space="preserve">De pactis, 16.09.1601. VD17 1:014552C</w:t>
      </w:r>
    </w:p>
    <w:p>
      <w:pPr>
        <w:pStyle w:val="ListEntry"/>
      </w:pPr>
      <w:r>
        <w:rPr>
          <w:rStyle w:val="BodyText"/>
        </w:rPr>
        <w:t xml:space="preserve">De tribus juris praeceptis ad materiam contractuum accomodatis, 31.10.1601. VD17 23:311252E</w:t>
      </w:r>
    </w:p>
    <w:p>
      <w:pPr>
        <w:pStyle w:val="ListEntry"/>
      </w:pPr>
      <w:r>
        <w:rPr>
          <w:rStyle w:val="BodyText"/>
        </w:rPr>
        <w:t xml:space="preserve">Usucapionum materia, 1602. VD17 23:252450R</w:t>
      </w:r>
    </w:p>
    <w:p>
      <w:pPr>
        <w:pStyle w:val="ListEntry"/>
      </w:pPr>
      <w:r>
        <w:rPr>
          <w:rStyle w:val="BodyText"/>
        </w:rPr>
        <w:t xml:space="preserve">De nuptiis, 1602. VD17 23:235353Q</w:t>
      </w:r>
    </w:p>
    <w:p>
      <w:pPr>
        <w:pStyle w:val="ListEntry"/>
      </w:pPr>
      <w:r>
        <w:rPr>
          <w:rStyle w:val="BodyText"/>
        </w:rPr>
        <w:t xml:space="preserve">De tutelis , 31.03.1602. VD17 23:252564H</w:t>
      </w:r>
    </w:p>
    <w:p>
      <w:pPr>
        <w:pStyle w:val="ListEntry"/>
      </w:pPr>
      <w:r>
        <w:rPr>
          <w:rStyle w:val="BodyText"/>
        </w:rPr>
        <w:t xml:space="preserve">De divisione rerum et earum acquirendo domino, 20.04.1602. VD17 23:252888T</w:t>
      </w:r>
    </w:p>
    <w:p>
      <w:pPr>
        <w:pStyle w:val="ListEntry"/>
      </w:pPr>
      <w:r>
        <w:rPr>
          <w:rStyle w:val="BodyText"/>
        </w:rPr>
        <w:t xml:space="preserve">De usufructu, 12.05.1602. VD17 23:235364D</w:t>
      </w:r>
    </w:p>
    <w:p>
      <w:pPr>
        <w:pStyle w:val="ListEntry"/>
      </w:pPr>
      <w:r>
        <w:rPr>
          <w:rStyle w:val="BodyText"/>
        </w:rPr>
        <w:t xml:space="preserve">De successione ab intestato, 06.10.1602. VD17 23:252453P</w:t>
      </w:r>
    </w:p>
    <w:p>
      <w:pPr>
        <w:pStyle w:val="ListEntry"/>
      </w:pPr>
      <w:r>
        <w:rPr>
          <w:rStyle w:val="BodyText"/>
        </w:rPr>
        <w:t xml:space="preserve">De jurisdictione, 31.08.1606. VD17 23:690533U</w:t>
      </w:r>
    </w:p>
    <w:p>
      <w:pPr>
        <w:pStyle w:val="Heading2"/>
      </w:pPr>
      <w:bookmarkStart w:id="4" w:name="_Toc4"/>
      <w:r>
        <w:t>Beteiligung an Dissertationen (1)</w:t>
      </w:r>
      <w:bookmarkEnd w:id="4"/>
    </w:p>
    <w:p>
      <w:pPr>
        <w:pStyle w:val="ListEntry"/>
      </w:pPr>
      <w:r>
        <w:rPr>
          <w:rStyle w:val="BodyText"/>
        </w:rPr>
        <w:t xml:space="preserve">Respondent in: Praefatio in praelectionem de acquirenda hereditate, 13.01.1605. VD17 23:267922P</w:t>
      </w:r>
    </w:p>
    <w:p>
      <w:pPr>
        <w:pStyle w:val="Heading2"/>
      </w:pPr>
      <w:bookmarkStart w:id="5" w:name="_Toc5"/>
      <w:r>
        <w:t>Beteiligung an Reden und Programmen (2)</w:t>
      </w:r>
      <w:bookmarkEnd w:id="5"/>
    </w:p>
    <w:p>
      <w:pPr>
        <w:pStyle w:val="ListEntry"/>
      </w:pPr>
      <w:r>
        <w:rPr>
          <w:rStyle w:val="BodyText"/>
        </w:rPr>
        <w:t xml:space="preserve">contributor in: Salomon Frenzel von Friedenthal: De Mirabilibvs In Opere Incarnationis Filii Dei Oratio. VD16 F 2658</w:t>
      </w:r>
    </w:p>
    <w:p>
      <w:pPr>
        <w:pStyle w:val="ListEntry"/>
      </w:pPr>
      <w:r>
        <w:rPr>
          <w:rStyle w:val="BodyText"/>
        </w:rPr>
        <w:t xml:space="preserve">contributor in: Salomon Frenzel von Friedenthal: De Mirabilibus in opere incarnationis filii dei Oratio . VD16 F 2658</w:t>
      </w:r>
    </w:p>
    <w:p>
      <w:pPr>
        <w:pStyle w:val="Heading2"/>
      </w:pPr>
      <w:bookmarkStart w:id="6" w:name="_Toc6"/>
      <w:r>
        <w:t>Zitierhinweis</w:t>
      </w:r>
      <w:bookmarkEnd w:id="6"/>
    </w:p>
    <w:p>
      <w:pPr/>
      <w:r>
        <w:rPr>
          <w:rStyle w:val="BodyText"/>
        </w:rPr>
        <w:t xml:space="preserve">Prof. Valentin Forster. In: Wissensproduktion an der Universität Helmstedt. Forschungsportal zur frühneuzeitlichen Universitätsgeschichte. Hrsg. von der Herzog August Bibliothek Wolfenbüttel. 2010–2013. Relaunch 2026. Permalink: https://uni-helmstedt.hab.de/prof-71-forster [07.07.2026]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Valentin Forster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2026-07-07T20:16:11+00:00</dcterms:created>
  <dcterms:modified xsi:type="dcterms:W3CDTF">2026-07-07T20:16:11+00:00</dcterms:modified>
</cp:coreProperties>
</file>

<file path=docProps/custom.xml><?xml version="1.0" encoding="utf-8"?>
<Properties xmlns="http://schemas.openxmlformats.org/officeDocument/2006/custom-properties" xmlns:vt="http://schemas.openxmlformats.org/officeDocument/2006/docPropsVTypes"/>
</file>